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8C7B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8"/>
          <w:sz w:val="44"/>
          <w:szCs w:val="44"/>
        </w:rPr>
      </w:pPr>
      <w:bookmarkStart w:id="0" w:name="_GoBack"/>
      <w:r>
        <w:rPr>
          <w:rFonts w:hint="eastAsia" w:ascii="宋体" w:hAnsi="宋体" w:eastAsia="宋体" w:cs="宋体"/>
          <w:b/>
          <w:bCs/>
          <w:spacing w:val="8"/>
          <w:sz w:val="44"/>
          <w:szCs w:val="44"/>
          <w:lang w:val="en-US" w:eastAsia="zh-CN"/>
        </w:rPr>
        <w:t>第二届福建省大学生智能海洋装备设计制作大赛</w:t>
      </w:r>
      <w:r>
        <w:rPr>
          <w:rFonts w:hint="eastAsia" w:ascii="宋体" w:hAnsi="宋体" w:eastAsia="宋体" w:cs="宋体"/>
          <w:b/>
          <w:bCs/>
          <w:spacing w:val="8"/>
          <w:sz w:val="44"/>
          <w:szCs w:val="44"/>
        </w:rPr>
        <w:t>中学生组（萌芽赛道）</w:t>
      </w:r>
    </w:p>
    <w:bookmarkEnd w:id="0"/>
    <w:p w14:paraId="154203C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44"/>
          <w:szCs w:val="44"/>
          <w:lang w:val="en-US" w:eastAsia="zh-CN"/>
        </w:rPr>
      </w:pPr>
      <w:r>
        <w:rPr>
          <w:rFonts w:hint="eastAsia" w:ascii="宋体" w:hAnsi="宋体" w:eastAsia="宋体" w:cs="宋体"/>
          <w:b/>
          <w:bCs/>
          <w:spacing w:val="8"/>
          <w:sz w:val="44"/>
          <w:szCs w:val="44"/>
          <w:lang w:eastAsia="zh-CN"/>
        </w:rPr>
        <w:t>——</w:t>
      </w:r>
      <w:r>
        <w:rPr>
          <w:rFonts w:hint="eastAsia" w:ascii="宋体" w:hAnsi="宋体" w:eastAsia="宋体" w:cs="宋体"/>
          <w:b/>
          <w:bCs/>
          <w:spacing w:val="8"/>
          <w:sz w:val="44"/>
          <w:szCs w:val="44"/>
        </w:rPr>
        <w:t>水</w:t>
      </w:r>
      <w:r>
        <w:rPr>
          <w:rFonts w:hint="eastAsia" w:ascii="宋体" w:hAnsi="宋体" w:eastAsia="宋体" w:cs="宋体"/>
          <w:b/>
          <w:bCs/>
          <w:spacing w:val="8"/>
          <w:sz w:val="44"/>
          <w:szCs w:val="44"/>
          <w:lang w:val="en-US" w:eastAsia="zh-CN"/>
        </w:rPr>
        <w:t>下机器人</w:t>
      </w:r>
      <w:r>
        <w:rPr>
          <w:rFonts w:hint="eastAsia" w:ascii="宋体" w:hAnsi="宋体" w:eastAsia="宋体" w:cs="宋体"/>
          <w:b/>
          <w:bCs/>
          <w:spacing w:val="8"/>
          <w:sz w:val="44"/>
          <w:szCs w:val="44"/>
        </w:rPr>
        <w:t>挑战赛</w:t>
      </w:r>
      <w:r>
        <w:rPr>
          <w:rFonts w:hint="eastAsia" w:ascii="宋体" w:hAnsi="宋体" w:eastAsia="宋体" w:cs="宋体"/>
          <w:b/>
          <w:bCs/>
          <w:spacing w:val="8"/>
          <w:sz w:val="44"/>
          <w:szCs w:val="44"/>
          <w:lang w:val="en-US" w:eastAsia="zh-CN"/>
        </w:rPr>
        <w:t>赛项说明</w:t>
      </w:r>
    </w:p>
    <w:p w14:paraId="2646C5B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0"/>
        <w:rPr>
          <w:rFonts w:hint="eastAsia" w:ascii="宋体" w:hAnsi="宋体" w:eastAsia="宋体" w:cs="宋体"/>
          <w:b/>
          <w:bCs/>
          <w:spacing w:val="-3"/>
          <w:sz w:val="28"/>
          <w:szCs w:val="28"/>
        </w:rPr>
      </w:pPr>
    </w:p>
    <w:p w14:paraId="5240FF3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0"/>
        <w:rPr>
          <w:rFonts w:hint="eastAsia" w:ascii="黑体" w:hAnsi="黑体" w:eastAsia="黑体" w:cs="黑体"/>
          <w:b w:val="0"/>
          <w:bCs w:val="0"/>
          <w:sz w:val="30"/>
          <w:szCs w:val="30"/>
        </w:rPr>
      </w:pPr>
      <w:r>
        <w:rPr>
          <w:rFonts w:hint="eastAsia" w:ascii="黑体" w:hAnsi="黑体" w:eastAsia="黑体" w:cs="黑体"/>
          <w:b w:val="0"/>
          <w:bCs w:val="0"/>
          <w:spacing w:val="-3"/>
          <w:sz w:val="30"/>
          <w:szCs w:val="30"/>
        </w:rPr>
        <w:t>一、比赛简介</w:t>
      </w:r>
    </w:p>
    <w:p w14:paraId="2EC336FC">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为引导和激励广大青少年弘扬创新精神，搭建良好的科技创新赛事平台，助力海工装备、海洋信息技术发展，推动福建省海洋科学技术的整体提升，促进海洋科技创新人才培养。根据《福建省教育厅关于公布2025年省级大学生学科专业竞赛项目的通知》（闽教高〔2025〕6号）文件，由福建省教育厅主办，福建理工大学、福州市海洋经济科创高地共同承办的“2025年福建省大学生智能海洋装备设计制作大赛”拟于2025年10月举行。为厚植青少年海洋强国情怀，培育海洋科技创新后备人才，本届大赛首次设立中学组别，面向全省中学生开放。</w:t>
      </w:r>
    </w:p>
    <w:p w14:paraId="37FAF79A">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z w:val="30"/>
          <w:szCs w:val="30"/>
        </w:rPr>
      </w:pPr>
      <w:r>
        <w:rPr>
          <w:rFonts w:hint="eastAsia" w:ascii="仿宋" w:hAnsi="仿宋" w:eastAsia="仿宋" w:cs="仿宋"/>
          <w:spacing w:val="-4"/>
          <w:sz w:val="30"/>
          <w:szCs w:val="30"/>
        </w:rPr>
        <w:t>本竞赛项目需要参赛选手利用结构材料、电机、电子组件、</w:t>
      </w:r>
      <w:r>
        <w:rPr>
          <w:rFonts w:hint="eastAsia" w:ascii="仿宋" w:hAnsi="仿宋" w:eastAsia="仿宋" w:cs="仿宋"/>
          <w:spacing w:val="-5"/>
          <w:sz w:val="30"/>
          <w:szCs w:val="30"/>
        </w:rPr>
        <w:t>传感</w:t>
      </w:r>
      <w:r>
        <w:rPr>
          <w:rFonts w:hint="eastAsia" w:ascii="仿宋" w:hAnsi="仿宋" w:eastAsia="仿宋" w:cs="仿宋"/>
          <w:spacing w:val="-4"/>
          <w:sz w:val="30"/>
          <w:szCs w:val="30"/>
        </w:rPr>
        <w:t>器及编程技术等多元素，设计并制作一台水下航行器及其配套的控制器，控制水下航行器完成相应水中作业任务，以及完成</w:t>
      </w:r>
      <w:r>
        <w:rPr>
          <w:rFonts w:hint="eastAsia" w:ascii="仿宋" w:hAnsi="仿宋" w:eastAsia="仿宋" w:cs="仿宋"/>
          <w:spacing w:val="-4"/>
          <w:sz w:val="30"/>
          <w:szCs w:val="30"/>
          <w:lang w:val="en-US" w:eastAsia="zh-CN"/>
        </w:rPr>
        <w:t>路演</w:t>
      </w:r>
      <w:r>
        <w:rPr>
          <w:rFonts w:hint="eastAsia" w:ascii="仿宋" w:hAnsi="仿宋" w:eastAsia="仿宋" w:cs="仿宋"/>
          <w:spacing w:val="-3"/>
          <w:sz w:val="30"/>
          <w:szCs w:val="30"/>
        </w:rPr>
        <w:t>答辩等。</w:t>
      </w:r>
    </w:p>
    <w:p w14:paraId="6EF8E95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0"/>
        <w:rPr>
          <w:rFonts w:hint="eastAsia" w:ascii="黑体" w:hAnsi="黑体" w:eastAsia="黑体" w:cs="黑体"/>
          <w:b w:val="0"/>
          <w:bCs w:val="0"/>
          <w:spacing w:val="-3"/>
          <w:sz w:val="30"/>
          <w:szCs w:val="30"/>
          <w:lang w:val="en-US" w:eastAsia="zh-CN"/>
        </w:rPr>
      </w:pPr>
      <w:r>
        <w:rPr>
          <w:rFonts w:hint="eastAsia" w:ascii="黑体" w:hAnsi="黑体" w:eastAsia="黑体" w:cs="黑体"/>
          <w:b w:val="0"/>
          <w:bCs w:val="0"/>
          <w:spacing w:val="-3"/>
          <w:sz w:val="30"/>
          <w:szCs w:val="30"/>
          <w:lang w:val="en-US" w:eastAsia="zh-CN"/>
        </w:rPr>
        <w:t>二</w:t>
      </w:r>
      <w:r>
        <w:rPr>
          <w:rFonts w:hint="eastAsia" w:ascii="黑体" w:hAnsi="黑体" w:eastAsia="黑体" w:cs="黑体"/>
          <w:b w:val="0"/>
          <w:bCs w:val="0"/>
          <w:spacing w:val="-3"/>
          <w:sz w:val="30"/>
          <w:szCs w:val="30"/>
        </w:rPr>
        <w:t>、分级/分组内容</w:t>
      </w:r>
      <w:r>
        <w:rPr>
          <w:rFonts w:hint="eastAsia" w:ascii="黑体" w:hAnsi="黑体" w:eastAsia="黑体" w:cs="黑体"/>
          <w:b w:val="0"/>
          <w:bCs w:val="0"/>
          <w:spacing w:val="-3"/>
          <w:sz w:val="30"/>
          <w:szCs w:val="30"/>
          <w:lang w:val="en-US" w:eastAsia="zh-CN"/>
        </w:rPr>
        <w:t>及要求</w:t>
      </w:r>
    </w:p>
    <w:p w14:paraId="2E2B9990">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1.</w:t>
      </w:r>
      <w:r>
        <w:rPr>
          <w:rFonts w:hint="eastAsia" w:ascii="仿宋" w:hAnsi="仿宋" w:eastAsia="仿宋" w:cs="仿宋"/>
          <w:spacing w:val="-4"/>
          <w:sz w:val="30"/>
          <w:szCs w:val="30"/>
        </w:rPr>
        <w:t>选手报名组别</w:t>
      </w:r>
      <w:r>
        <w:rPr>
          <w:rFonts w:hint="eastAsia" w:ascii="仿宋" w:hAnsi="仿宋" w:eastAsia="仿宋" w:cs="仿宋"/>
          <w:spacing w:val="-4"/>
          <w:sz w:val="30"/>
          <w:szCs w:val="30"/>
          <w:lang w:val="en-US" w:eastAsia="zh-CN"/>
        </w:rPr>
        <w:t>仅设：中学</w:t>
      </w:r>
      <w:r>
        <w:rPr>
          <w:rFonts w:hint="eastAsia" w:ascii="仿宋" w:hAnsi="仿宋" w:eastAsia="仿宋" w:cs="仿宋"/>
          <w:spacing w:val="-4"/>
          <w:sz w:val="30"/>
          <w:szCs w:val="30"/>
        </w:rPr>
        <w:t>组</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含初中、高中、职高</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rPr>
        <w:t>。</w:t>
      </w:r>
    </w:p>
    <w:p w14:paraId="01297E53">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2.</w:t>
      </w:r>
      <w:r>
        <w:rPr>
          <w:rFonts w:hint="eastAsia" w:ascii="仿宋" w:hAnsi="仿宋" w:eastAsia="仿宋" w:cs="仿宋"/>
          <w:spacing w:val="-4"/>
          <w:sz w:val="30"/>
          <w:szCs w:val="30"/>
        </w:rPr>
        <w:t>本赛项以团队形式报名，每团队人数为</w:t>
      </w:r>
      <w:r>
        <w:rPr>
          <w:rFonts w:hint="eastAsia" w:ascii="仿宋" w:hAnsi="仿宋" w:eastAsia="仿宋" w:cs="仿宋"/>
          <w:spacing w:val="-4"/>
          <w:sz w:val="30"/>
          <w:szCs w:val="30"/>
          <w:lang w:val="en-US" w:eastAsia="zh-CN"/>
        </w:rPr>
        <w:t>2</w:t>
      </w:r>
      <w:r>
        <w:rPr>
          <w:rFonts w:hint="eastAsia" w:ascii="仿宋" w:hAnsi="仿宋" w:eastAsia="仿宋" w:cs="仿宋"/>
          <w:spacing w:val="-4"/>
          <w:sz w:val="30"/>
          <w:szCs w:val="30"/>
        </w:rPr>
        <w:t>人，指导老师</w:t>
      </w:r>
      <w:r>
        <w:rPr>
          <w:rFonts w:hint="eastAsia" w:ascii="仿宋" w:hAnsi="仿宋" w:eastAsia="仿宋" w:cs="仿宋"/>
          <w:spacing w:val="-4"/>
          <w:sz w:val="30"/>
          <w:szCs w:val="30"/>
          <w:lang w:val="en-US" w:eastAsia="zh-CN"/>
        </w:rPr>
        <w:t>1</w:t>
      </w:r>
      <w:r>
        <w:rPr>
          <w:rFonts w:hint="eastAsia" w:ascii="仿宋" w:hAnsi="仿宋" w:eastAsia="仿宋" w:cs="仿宋"/>
          <w:spacing w:val="-4"/>
          <w:sz w:val="30"/>
          <w:szCs w:val="30"/>
        </w:rPr>
        <w:t>人（可填写“无”</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rPr>
        <w:t>。</w:t>
      </w:r>
    </w:p>
    <w:p w14:paraId="0295B8E8">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lang w:val="en-US" w:eastAsia="zh-CN"/>
        </w:rPr>
      </w:pPr>
      <w:r>
        <w:rPr>
          <w:rFonts w:hint="eastAsia" w:ascii="仿宋" w:hAnsi="仿宋" w:eastAsia="仿宋" w:cs="仿宋"/>
          <w:spacing w:val="-4"/>
          <w:sz w:val="30"/>
          <w:szCs w:val="30"/>
          <w:lang w:val="en-US" w:eastAsia="zh-CN"/>
        </w:rPr>
        <w:t>3.</w:t>
      </w:r>
      <w:r>
        <w:rPr>
          <w:rFonts w:hint="eastAsia" w:ascii="仿宋" w:hAnsi="仿宋" w:eastAsia="仿宋" w:cs="仿宋"/>
          <w:spacing w:val="-4"/>
          <w:sz w:val="30"/>
          <w:szCs w:val="30"/>
        </w:rPr>
        <w:t>熟悉</w:t>
      </w:r>
      <w:r>
        <w:rPr>
          <w:rFonts w:hint="eastAsia" w:ascii="仿宋" w:hAnsi="仿宋" w:eastAsia="仿宋" w:cs="仿宋"/>
          <w:spacing w:val="-4"/>
          <w:sz w:val="30"/>
          <w:szCs w:val="30"/>
          <w:lang w:val="en-US" w:eastAsia="zh-CN"/>
        </w:rPr>
        <w:t>图形化</w:t>
      </w:r>
      <w:r>
        <w:rPr>
          <w:rFonts w:hint="eastAsia" w:ascii="仿宋" w:hAnsi="仿宋" w:eastAsia="仿宋" w:cs="仿宋"/>
          <w:spacing w:val="-4"/>
          <w:sz w:val="30"/>
          <w:szCs w:val="30"/>
        </w:rPr>
        <w:t>/C/C++</w:t>
      </w:r>
      <w:r>
        <w:rPr>
          <w:rFonts w:hint="eastAsia" w:ascii="仿宋" w:hAnsi="仿宋" w:eastAsia="仿宋" w:cs="仿宋"/>
          <w:spacing w:val="-4"/>
          <w:sz w:val="30"/>
          <w:szCs w:val="30"/>
          <w:lang w:val="en-US" w:eastAsia="zh-CN"/>
        </w:rPr>
        <w:t>/python</w:t>
      </w:r>
      <w:r>
        <w:rPr>
          <w:rFonts w:hint="eastAsia" w:ascii="仿宋" w:hAnsi="仿宋" w:eastAsia="仿宋" w:cs="仿宋"/>
          <w:spacing w:val="-4"/>
          <w:sz w:val="30"/>
          <w:szCs w:val="30"/>
        </w:rPr>
        <w:t>等编程的基础知识和基本操作，能独立完成参赛作品结构的构建、程序编写、模拟运行、提交成果等操作。可以独立对作品进行演示、讲解。</w:t>
      </w:r>
    </w:p>
    <w:p w14:paraId="18E00C7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0"/>
        <w:rPr>
          <w:rFonts w:hint="eastAsia" w:ascii="黑体" w:hAnsi="黑体" w:eastAsia="黑体" w:cs="黑体"/>
          <w:b w:val="0"/>
          <w:bCs w:val="0"/>
          <w:spacing w:val="-3"/>
          <w:sz w:val="30"/>
          <w:szCs w:val="30"/>
        </w:rPr>
      </w:pPr>
      <w:r>
        <w:rPr>
          <w:rFonts w:hint="eastAsia" w:ascii="黑体" w:hAnsi="黑体" w:eastAsia="黑体" w:cs="黑体"/>
          <w:b w:val="0"/>
          <w:bCs w:val="0"/>
          <w:spacing w:val="-3"/>
          <w:sz w:val="30"/>
          <w:szCs w:val="30"/>
          <w:lang w:val="en-US" w:eastAsia="zh-CN"/>
        </w:rPr>
        <w:t>三</w:t>
      </w:r>
      <w:r>
        <w:rPr>
          <w:rFonts w:hint="eastAsia" w:ascii="黑体" w:hAnsi="黑体" w:eastAsia="黑体" w:cs="黑体"/>
          <w:b w:val="0"/>
          <w:bCs w:val="0"/>
          <w:spacing w:val="-3"/>
          <w:sz w:val="30"/>
          <w:szCs w:val="30"/>
        </w:rPr>
        <w:t>、比赛场地（以现场实际场地道具为准）</w:t>
      </w:r>
    </w:p>
    <w:p w14:paraId="2EDFD7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outlineLvl w:val="0"/>
        <w:rPr>
          <w:rFonts w:hint="eastAsia" w:ascii="宋体" w:hAnsi="宋体" w:eastAsia="宋体" w:cs="宋体"/>
        </w:rPr>
      </w:pPr>
      <w:r>
        <w:rPr>
          <w:rFonts w:hint="eastAsia" w:ascii="宋体" w:hAnsi="宋体" w:eastAsia="宋体" w:cs="宋体"/>
          <w:position w:val="-77"/>
        </w:rPr>
        <w:drawing>
          <wp:inline distT="0" distB="0" distL="0" distR="0">
            <wp:extent cx="4981575" cy="2061845"/>
            <wp:effectExtent l="0" t="0" r="9525" b="1460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4981575" cy="2061845"/>
                    </a:xfrm>
                    <a:prstGeom prst="rect">
                      <a:avLst/>
                    </a:prstGeom>
                  </pic:spPr>
                </pic:pic>
              </a:graphicData>
            </a:graphic>
          </wp:inline>
        </w:drawing>
      </w:r>
    </w:p>
    <w:p w14:paraId="23CB67D8">
      <w:pPr>
        <w:keepNext w:val="0"/>
        <w:keepLines w:val="0"/>
        <w:pageBreakBefore w:val="0"/>
        <w:widowControl/>
        <w:kinsoku w:val="0"/>
        <w:wordWrap/>
        <w:overflowPunct/>
        <w:topLinePunct w:val="0"/>
        <w:autoSpaceDE w:val="0"/>
        <w:autoSpaceDN w:val="0"/>
        <w:bidi w:val="0"/>
        <w:adjustRightInd w:val="0"/>
        <w:snapToGrid w:val="0"/>
        <w:spacing w:line="400" w:lineRule="exact"/>
        <w:ind w:left="2112"/>
        <w:textAlignment w:val="baseline"/>
        <w:rPr>
          <w:rFonts w:hint="eastAsia" w:ascii="宋体" w:hAnsi="宋体" w:eastAsia="宋体" w:cs="宋体"/>
          <w:b/>
          <w:bCs/>
          <w:sz w:val="19"/>
          <w:szCs w:val="19"/>
        </w:rPr>
      </w:pPr>
      <w:r>
        <w:rPr>
          <w:rFonts w:hint="eastAsia" w:ascii="宋体" w:hAnsi="宋体" w:eastAsia="宋体" w:cs="宋体"/>
          <w:b/>
          <w:bCs/>
          <w:spacing w:val="7"/>
          <w:position w:val="1"/>
          <w:sz w:val="19"/>
          <w:szCs w:val="19"/>
        </w:rPr>
        <w:t>图1</w:t>
      </w:r>
      <w:r>
        <w:rPr>
          <w:rFonts w:hint="eastAsia" w:ascii="宋体" w:hAnsi="宋体" w:eastAsia="宋体" w:cs="宋体"/>
          <w:b/>
          <w:bCs/>
          <w:spacing w:val="7"/>
          <w:position w:val="1"/>
          <w:sz w:val="19"/>
          <w:szCs w:val="19"/>
          <w:lang w:val="en-US" w:eastAsia="zh-CN"/>
        </w:rPr>
        <w:t xml:space="preserve"> </w:t>
      </w:r>
      <w:r>
        <w:rPr>
          <w:rFonts w:hint="eastAsia" w:ascii="宋体" w:hAnsi="宋体" w:eastAsia="宋体" w:cs="宋体"/>
          <w:b/>
          <w:bCs/>
          <w:spacing w:val="7"/>
          <w:position w:val="1"/>
          <w:sz w:val="19"/>
          <w:szCs w:val="19"/>
        </w:rPr>
        <w:t>水</w:t>
      </w:r>
      <w:r>
        <w:rPr>
          <w:rFonts w:hint="eastAsia" w:ascii="宋体" w:hAnsi="宋体" w:eastAsia="宋体" w:cs="宋体"/>
          <w:b/>
          <w:bCs/>
          <w:spacing w:val="7"/>
          <w:position w:val="1"/>
          <w:sz w:val="19"/>
          <w:szCs w:val="19"/>
          <w:lang w:val="en-US" w:eastAsia="zh-CN"/>
        </w:rPr>
        <w:t>下机器人</w:t>
      </w:r>
      <w:r>
        <w:rPr>
          <w:rFonts w:hint="eastAsia" w:ascii="宋体" w:hAnsi="宋体" w:eastAsia="宋体" w:cs="宋体"/>
          <w:b/>
          <w:bCs/>
          <w:spacing w:val="7"/>
          <w:position w:val="1"/>
          <w:sz w:val="19"/>
          <w:szCs w:val="19"/>
        </w:rPr>
        <w:t>挑战赛场地示意图</w:t>
      </w:r>
    </w:p>
    <w:p w14:paraId="0233A98F">
      <w:pPr>
        <w:keepNext w:val="0"/>
        <w:keepLines w:val="0"/>
        <w:pageBreakBefore w:val="0"/>
        <w:widowControl/>
        <w:kinsoku w:val="0"/>
        <w:wordWrap/>
        <w:overflowPunct/>
        <w:topLinePunct w:val="0"/>
        <w:autoSpaceDE w:val="0"/>
        <w:autoSpaceDN w:val="0"/>
        <w:bidi w:val="0"/>
        <w:adjustRightInd w:val="0"/>
        <w:snapToGrid w:val="0"/>
        <w:spacing w:line="400" w:lineRule="exact"/>
        <w:ind w:left="33" w:firstLine="557"/>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水</w:t>
      </w:r>
      <w:r>
        <w:rPr>
          <w:rFonts w:hint="eastAsia" w:ascii="仿宋" w:hAnsi="仿宋" w:eastAsia="仿宋" w:cs="仿宋"/>
          <w:spacing w:val="-4"/>
          <w:sz w:val="30"/>
          <w:szCs w:val="30"/>
          <w:lang w:val="en-US" w:eastAsia="zh-CN"/>
        </w:rPr>
        <w:t>下机器人</w:t>
      </w:r>
      <w:r>
        <w:rPr>
          <w:rFonts w:hint="eastAsia" w:ascii="仿宋" w:hAnsi="仿宋" w:eastAsia="仿宋" w:cs="仿宋"/>
          <w:spacing w:val="-4"/>
          <w:sz w:val="30"/>
          <w:szCs w:val="30"/>
        </w:rPr>
        <w:t>挑战赛场地标准为长3000mm*宽2000mm*高700mm，注水深度600-1200mm±100mm（如图1所示）。比赛场地及道具由组委会统一提供（鉴于比赛地点及实际条件的可能变动，设备需适应场地可能的变化，最终比赛将以实际提供的场地道具参数为准）。</w:t>
      </w:r>
    </w:p>
    <w:p w14:paraId="497E6AFA">
      <w:pPr>
        <w:keepNext w:val="0"/>
        <w:keepLines w:val="0"/>
        <w:pageBreakBefore w:val="0"/>
        <w:widowControl/>
        <w:kinsoku w:val="0"/>
        <w:wordWrap/>
        <w:overflowPunct/>
        <w:topLinePunct w:val="0"/>
        <w:autoSpaceDE w:val="0"/>
        <w:autoSpaceDN w:val="0"/>
        <w:bidi w:val="0"/>
        <w:adjustRightInd w:val="0"/>
        <w:snapToGrid w:val="0"/>
        <w:spacing w:line="400" w:lineRule="exact"/>
        <w:ind w:left="33" w:firstLine="557"/>
        <w:jc w:val="both"/>
        <w:textAlignment w:val="baseline"/>
        <w:rPr>
          <w:rFonts w:hint="eastAsia" w:ascii="仿宋" w:hAnsi="仿宋" w:eastAsia="仿宋" w:cs="仿宋"/>
          <w:spacing w:val="-4"/>
          <w:sz w:val="30"/>
          <w:szCs w:val="30"/>
        </w:rPr>
      </w:pPr>
      <w:r>
        <w:rPr>
          <w:rFonts w:hint="eastAsia" w:ascii="宋体" w:hAnsi="宋体" w:eastAsia="宋体" w:cs="宋体"/>
          <w:b/>
          <w:bCs/>
          <w:spacing w:val="-7"/>
          <w:sz w:val="28"/>
          <w:szCs w:val="28"/>
        </w:rPr>
        <w:t>比赛场地：</w:t>
      </w:r>
      <w:r>
        <w:rPr>
          <w:rFonts w:hint="eastAsia" w:ascii="仿宋" w:hAnsi="仿宋" w:eastAsia="仿宋" w:cs="仿宋"/>
          <w:spacing w:val="-4"/>
          <w:sz w:val="30"/>
          <w:szCs w:val="30"/>
        </w:rPr>
        <w:t>水池底部设有直径约42mm，重量约50g的8个随机摆放的目标物（高尔夫球）共分为四种颜色，每种颜色各有两个。此外，水池底部还设置了一个模拟珊瑚礁环境的方形筐，其尺寸为长400mm*宽400mm*高400mm，方形筐的四个侧面分为两层，每层含有一个200mm×150mm的开口，共计八个开口，且这些开口内部彼此独立，不相连通。如图</w:t>
      </w:r>
      <w:r>
        <w:rPr>
          <w:rFonts w:hint="eastAsia" w:ascii="仿宋" w:hAnsi="仿宋" w:eastAsia="仿宋" w:cs="仿宋"/>
          <w:spacing w:val="-4"/>
          <w:sz w:val="30"/>
          <w:szCs w:val="30"/>
          <w:lang w:val="en-US" w:eastAsia="zh-CN"/>
        </w:rPr>
        <w:t>2</w:t>
      </w:r>
      <w:r>
        <w:rPr>
          <w:rFonts w:hint="eastAsia" w:ascii="仿宋" w:hAnsi="仿宋" w:eastAsia="仿宋" w:cs="仿宋"/>
          <w:spacing w:val="-4"/>
          <w:sz w:val="30"/>
          <w:szCs w:val="30"/>
        </w:rPr>
        <w:t>所示：</w:t>
      </w:r>
    </w:p>
    <w:p w14:paraId="3412158E">
      <w:pPr>
        <w:keepNext w:val="0"/>
        <w:keepLines w:val="0"/>
        <w:pageBreakBefore w:val="0"/>
        <w:widowControl/>
        <w:kinsoku w:val="0"/>
        <w:wordWrap/>
        <w:overflowPunct/>
        <w:topLinePunct w:val="0"/>
        <w:autoSpaceDE w:val="0"/>
        <w:autoSpaceDN w:val="0"/>
        <w:bidi w:val="0"/>
        <w:adjustRightInd w:val="0"/>
        <w:snapToGrid w:val="0"/>
        <w:spacing w:line="240" w:lineRule="auto"/>
        <w:ind w:left="33" w:firstLine="557"/>
        <w:jc w:val="both"/>
        <w:textAlignment w:val="baseline"/>
        <w:rPr>
          <w:rFonts w:hint="eastAsia" w:ascii="宋体" w:hAnsi="宋体" w:eastAsia="宋体" w:cs="宋体"/>
        </w:rPr>
      </w:pPr>
      <w:r>
        <w:rPr>
          <w:rFonts w:hint="eastAsia" w:ascii="宋体" w:hAnsi="宋体" w:eastAsia="宋体" w:cs="宋体"/>
          <w:position w:val="-107"/>
        </w:rPr>
        <w:drawing>
          <wp:inline distT="0" distB="0" distL="0" distR="0">
            <wp:extent cx="4406265" cy="2200910"/>
            <wp:effectExtent l="0" t="0" r="13335" b="889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4406265" cy="2200910"/>
                    </a:xfrm>
                    <a:prstGeom prst="rect">
                      <a:avLst/>
                    </a:prstGeom>
                  </pic:spPr>
                </pic:pic>
              </a:graphicData>
            </a:graphic>
          </wp:inline>
        </w:drawing>
      </w:r>
    </w:p>
    <w:p w14:paraId="698B73DB">
      <w:pPr>
        <w:keepNext w:val="0"/>
        <w:keepLines w:val="0"/>
        <w:pageBreakBefore w:val="0"/>
        <w:widowControl/>
        <w:kinsoku w:val="0"/>
        <w:wordWrap/>
        <w:overflowPunct/>
        <w:topLinePunct w:val="0"/>
        <w:autoSpaceDE w:val="0"/>
        <w:autoSpaceDN w:val="0"/>
        <w:bidi w:val="0"/>
        <w:adjustRightInd w:val="0"/>
        <w:snapToGrid w:val="0"/>
        <w:spacing w:line="400" w:lineRule="exact"/>
        <w:ind w:left="3033"/>
        <w:textAlignment w:val="baseline"/>
        <w:rPr>
          <w:rFonts w:hint="eastAsia" w:ascii="宋体" w:hAnsi="宋体" w:eastAsia="宋体" w:cs="宋体"/>
          <w:b/>
          <w:bCs/>
          <w:sz w:val="19"/>
          <w:szCs w:val="19"/>
        </w:rPr>
      </w:pPr>
      <w:r>
        <w:rPr>
          <w:rFonts w:hint="eastAsia" w:ascii="宋体" w:hAnsi="宋体" w:eastAsia="宋体" w:cs="宋体"/>
          <w:b/>
          <w:bCs/>
          <w:spacing w:val="6"/>
          <w:position w:val="2"/>
          <w:sz w:val="19"/>
          <w:szCs w:val="19"/>
        </w:rPr>
        <w:t>图</w:t>
      </w:r>
      <w:r>
        <w:rPr>
          <w:rFonts w:hint="eastAsia" w:ascii="宋体" w:hAnsi="宋体" w:eastAsia="宋体" w:cs="宋体"/>
          <w:b/>
          <w:bCs/>
          <w:spacing w:val="6"/>
          <w:position w:val="2"/>
          <w:sz w:val="19"/>
          <w:szCs w:val="19"/>
          <w:lang w:val="en-US" w:eastAsia="zh-CN"/>
        </w:rPr>
        <w:t>2</w:t>
      </w:r>
      <w:r>
        <w:rPr>
          <w:rFonts w:hint="eastAsia" w:ascii="宋体" w:hAnsi="宋体" w:eastAsia="宋体" w:cs="宋体"/>
          <w:b/>
          <w:bCs/>
          <w:spacing w:val="21"/>
          <w:w w:val="101"/>
          <w:position w:val="2"/>
          <w:sz w:val="19"/>
          <w:szCs w:val="19"/>
        </w:rPr>
        <w:t xml:space="preserve"> </w:t>
      </w:r>
      <w:r>
        <w:rPr>
          <w:rFonts w:hint="eastAsia" w:ascii="宋体" w:hAnsi="宋体" w:eastAsia="宋体" w:cs="宋体"/>
          <w:b/>
          <w:bCs/>
          <w:spacing w:val="6"/>
          <w:position w:val="2"/>
          <w:sz w:val="19"/>
          <w:szCs w:val="19"/>
        </w:rPr>
        <w:t>场地示意图</w:t>
      </w:r>
    </w:p>
    <w:p w14:paraId="7255D21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lang w:eastAsia="zh-CN"/>
        </w:rPr>
      </w:pPr>
      <w:r>
        <w:rPr>
          <w:rFonts w:hint="eastAsia"/>
        </w:rPr>
        <w:drawing>
          <wp:inline distT="0" distB="0" distL="0" distR="0">
            <wp:extent cx="3472815" cy="1412240"/>
            <wp:effectExtent l="0" t="0" r="13335" b="1651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
                    <a:stretch>
                      <a:fillRect/>
                    </a:stretch>
                  </pic:blipFill>
                  <pic:spPr>
                    <a:xfrm>
                      <a:off x="0" y="0"/>
                      <a:ext cx="3472815" cy="1412240"/>
                    </a:xfrm>
                    <a:prstGeom prst="rect">
                      <a:avLst/>
                    </a:prstGeom>
                  </pic:spPr>
                </pic:pic>
              </a:graphicData>
            </a:graphic>
          </wp:inline>
        </w:drawing>
      </w:r>
      <w:r>
        <w:rPr>
          <w:rFonts w:hint="eastAsia" w:ascii="宋体" w:hAnsi="宋体" w:eastAsia="宋体" w:cs="宋体"/>
          <w:lang w:eastAsia="zh-CN"/>
        </w:rPr>
        <w:drawing>
          <wp:inline distT="0" distB="0" distL="114300" distR="114300">
            <wp:extent cx="1497965" cy="1428750"/>
            <wp:effectExtent l="0" t="0" r="6985" b="0"/>
            <wp:docPr id="1" name="图片 1" descr="175740965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57409651955"/>
                    <pic:cNvPicPr>
                      <a:picLocks noChangeAspect="1"/>
                    </pic:cNvPicPr>
                  </pic:nvPicPr>
                  <pic:blipFill>
                    <a:blip r:embed="rId10"/>
                    <a:stretch>
                      <a:fillRect/>
                    </a:stretch>
                  </pic:blipFill>
                  <pic:spPr>
                    <a:xfrm>
                      <a:off x="0" y="0"/>
                      <a:ext cx="1497965" cy="1428750"/>
                    </a:xfrm>
                    <a:prstGeom prst="rect">
                      <a:avLst/>
                    </a:prstGeom>
                  </pic:spPr>
                </pic:pic>
              </a:graphicData>
            </a:graphic>
          </wp:inline>
        </w:drawing>
      </w:r>
    </w:p>
    <w:p w14:paraId="33D3BF0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19"/>
          <w:szCs w:val="19"/>
        </w:rPr>
      </w:pPr>
      <w:r>
        <w:rPr>
          <w:rFonts w:hint="eastAsia" w:ascii="宋体" w:hAnsi="宋体" w:eastAsia="宋体" w:cs="宋体"/>
          <w:b/>
          <w:bCs/>
          <w:spacing w:val="6"/>
          <w:sz w:val="19"/>
          <w:szCs w:val="19"/>
        </w:rPr>
        <w:t>图</w:t>
      </w:r>
      <w:r>
        <w:rPr>
          <w:rFonts w:hint="eastAsia" w:ascii="宋体" w:hAnsi="宋体" w:eastAsia="宋体" w:cs="宋体"/>
          <w:b/>
          <w:bCs/>
          <w:spacing w:val="6"/>
          <w:sz w:val="19"/>
          <w:szCs w:val="19"/>
          <w:lang w:val="en-US" w:eastAsia="zh-CN"/>
        </w:rPr>
        <w:t xml:space="preserve">2 </w:t>
      </w:r>
      <w:r>
        <w:rPr>
          <w:rFonts w:hint="eastAsia" w:ascii="宋体" w:hAnsi="宋体" w:eastAsia="宋体" w:cs="宋体"/>
          <w:b/>
          <w:bCs/>
          <w:spacing w:val="6"/>
          <w:sz w:val="19"/>
          <w:szCs w:val="19"/>
        </w:rPr>
        <w:t>-道具示意图</w:t>
      </w:r>
    </w:p>
    <w:p w14:paraId="40356B8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0"/>
        <w:rPr>
          <w:rFonts w:hint="eastAsia" w:ascii="黑体" w:hAnsi="黑体" w:eastAsia="黑体" w:cs="黑体"/>
          <w:b w:val="0"/>
          <w:bCs w:val="0"/>
          <w:spacing w:val="-3"/>
          <w:sz w:val="30"/>
          <w:szCs w:val="30"/>
        </w:rPr>
      </w:pPr>
      <w:r>
        <w:rPr>
          <w:rFonts w:hint="eastAsia" w:ascii="黑体" w:hAnsi="黑体" w:eastAsia="黑体" w:cs="黑体"/>
          <w:b w:val="0"/>
          <w:bCs w:val="0"/>
          <w:spacing w:val="-3"/>
          <w:sz w:val="30"/>
          <w:szCs w:val="30"/>
          <w:lang w:val="en-US" w:eastAsia="zh-CN"/>
        </w:rPr>
        <w:t>四</w:t>
      </w:r>
      <w:r>
        <w:rPr>
          <w:rFonts w:hint="eastAsia" w:ascii="黑体" w:hAnsi="黑体" w:eastAsia="黑体" w:cs="黑体"/>
          <w:b w:val="0"/>
          <w:bCs w:val="0"/>
          <w:spacing w:val="-3"/>
          <w:sz w:val="30"/>
          <w:szCs w:val="30"/>
        </w:rPr>
        <w:t>、比赛规则和得分</w:t>
      </w:r>
    </w:p>
    <w:p w14:paraId="7F8D34E9">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楷体" w:hAnsi="楷体" w:eastAsia="楷体" w:cs="楷体"/>
          <w:spacing w:val="-4"/>
          <w:sz w:val="30"/>
          <w:szCs w:val="30"/>
        </w:rPr>
      </w:pPr>
      <w:r>
        <w:rPr>
          <w:rFonts w:hint="eastAsia" w:ascii="楷体" w:hAnsi="楷体" w:eastAsia="楷体" w:cs="楷体"/>
          <w:spacing w:val="-4"/>
          <w:sz w:val="30"/>
          <w:szCs w:val="30"/>
        </w:rPr>
        <w:t>（一）比赛顺序</w:t>
      </w:r>
    </w:p>
    <w:p w14:paraId="18E88CE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1.进场准备</w:t>
      </w:r>
    </w:p>
    <w:p w14:paraId="49D8E2BE">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选手携带比赛设备和身份证明材料（复印件亦可），在指定的时间进入赛场进行签到，家长、领队及教练均不得进入赛场。</w:t>
      </w:r>
    </w:p>
    <w:p w14:paraId="37D99634">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2.赛前检录</w:t>
      </w:r>
    </w:p>
    <w:p w14:paraId="066F3121">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比赛开始前请听从裁判和工作人员的指令完成检录工作并确认签字。</w:t>
      </w:r>
    </w:p>
    <w:p w14:paraId="1D2E8832">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3.进入赛场</w:t>
      </w:r>
    </w:p>
    <w:p w14:paraId="077DD635">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在工作人员的带领下，进入候场区并根据自己的竞赛编号寻找比赛位置或听从工作人员安排，务必牢记自己的参赛编号。</w:t>
      </w:r>
    </w:p>
    <w:p w14:paraId="11C0EC80">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4.开始比赛</w:t>
      </w:r>
    </w:p>
    <w:p w14:paraId="0269331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参赛选手准备就绪，需遵从裁判指示开始比赛。赛程中，请严格遵循裁判指导及赛项规定。请维护赛场秩序，遇到问题请举手向裁判示意。</w:t>
      </w:r>
    </w:p>
    <w:p w14:paraId="4CCEAB4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5.选手撤场</w:t>
      </w:r>
    </w:p>
    <w:p w14:paraId="73E7A578">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比赛终结后，请各位参赛者在现场工作人员引导下，保持秩序，有序离场。</w:t>
      </w:r>
    </w:p>
    <w:p w14:paraId="01499EF8">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楷体" w:hAnsi="楷体" w:eastAsia="楷体" w:cs="楷体"/>
          <w:spacing w:val="-4"/>
          <w:sz w:val="30"/>
          <w:szCs w:val="30"/>
        </w:rPr>
      </w:pPr>
      <w:r>
        <w:rPr>
          <w:rFonts w:hint="eastAsia" w:ascii="楷体" w:hAnsi="楷体" w:eastAsia="楷体" w:cs="楷体"/>
          <w:spacing w:val="-4"/>
          <w:sz w:val="30"/>
          <w:szCs w:val="30"/>
        </w:rPr>
        <w:t>（二）赛前准备</w:t>
      </w:r>
    </w:p>
    <w:p w14:paraId="74D88B13">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1.作品设备检录及备件要求</w:t>
      </w:r>
    </w:p>
    <w:p w14:paraId="1995A2DF">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参赛队必须使用通过审查的作品设备，设备不合格者会按要求进行扣分。各参赛队有且仅有属于本队的作品设备，队伍之间不允许共享作品设备及作品设备的附件和其它设备。为确保作品设备符合比赛要求，赛前将由裁判检查各参赛队的作品设备。</w:t>
      </w:r>
    </w:p>
    <w:p w14:paraId="2B86D8D9">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（2）除有特殊赛规说明外，在比赛当中，不能在作品设备上增减除浮力块以外的任何零部件和材料。违反该项规则，将被取消比赛资格。</w:t>
      </w:r>
    </w:p>
    <w:p w14:paraId="215BEDC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（3）各参赛队一旦开始进行场地赛，就不能再对作品设备结构进行任何改装。在比赛任务间歇时，可以对作品设备已有的设备、零部件和材料进行复位调整，但需要做好随时接受设备重审的准备。</w:t>
      </w:r>
    </w:p>
    <w:p w14:paraId="5007FFF2">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（4）增加或减除用于固定或密封零部件的绳缆和胶带等紧固材料。但完成以上操作计时器不会停止计时。</w:t>
      </w:r>
    </w:p>
    <w:p w14:paraId="5E1227E9">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（5）大赛赛会技术委员会有权对设备审查和设备安全性进行最终解释，并有权要求对已通过审查但有争议的参赛队在赛前再次进行设备审查。</w:t>
      </w:r>
    </w:p>
    <w:p w14:paraId="7BE560C8">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（6）为保证安全，比赛现场不提供电源。</w:t>
      </w:r>
    </w:p>
    <w:p w14:paraId="58DD35B0">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2.队伍规则</w:t>
      </w:r>
    </w:p>
    <w:p w14:paraId="6329E5B1">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（1）作品设备只能通过驱动完成移动，人为拖动会受到处罚。</w:t>
      </w:r>
    </w:p>
    <w:p w14:paraId="5E6D988F">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（2）若作品设备与道具缠绕或无法自主移动，团队需立即通知裁判尝试解救，期间计时器不停，且将受罚。</w:t>
      </w:r>
    </w:p>
    <w:p w14:paraId="2AB8DB70">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（3）比赛期间，比赛场地仅限该队的参赛队员在比赛区域内活动。除非经过特殊安排，否则教师、教练、导师或其他人员不得进入比赛区域。</w:t>
      </w:r>
    </w:p>
    <w:p w14:paraId="7412249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（4）水池边的队员可以在任何时候和操作队员互换作为操作手。</w:t>
      </w:r>
    </w:p>
    <w:p w14:paraId="237EBF40">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（5）参赛队伍在到达比赛场地后将有2分钟的准备时间。在此设置期间，队伍应尽快调整作品设备的浮力和其他必要的装置。裁判将在准备时间结束时开始比赛计时。</w:t>
      </w:r>
    </w:p>
    <w:p w14:paraId="72EBBD6E">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（6）迟到5分钟以上，未准时到场的参赛队，该队将被取消比赛资格。</w:t>
      </w:r>
    </w:p>
    <w:p w14:paraId="77FE7A30">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（7）各参赛队必须对参赛作品设备进行个性化设计，机身上要有明显的本队标志。</w:t>
      </w:r>
    </w:p>
    <w:p w14:paraId="190171F6">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（8）如发现非本场队员试图（以电脑或其他电子设备）干扰正常竞赛行为的，第一次，警告并降低排名处理，第二次直接取消参赛资格。</w:t>
      </w:r>
    </w:p>
    <w:p w14:paraId="002BB377">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p>
    <w:p w14:paraId="1BBE6F15">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楷体" w:hAnsi="楷体" w:eastAsia="楷体" w:cs="楷体"/>
          <w:spacing w:val="-4"/>
          <w:sz w:val="30"/>
          <w:szCs w:val="30"/>
        </w:rPr>
      </w:pPr>
      <w:r>
        <w:rPr>
          <w:rFonts w:hint="eastAsia" w:ascii="楷体" w:hAnsi="楷体" w:eastAsia="楷体" w:cs="楷体"/>
          <w:spacing w:val="-4"/>
          <w:sz w:val="30"/>
          <w:szCs w:val="30"/>
        </w:rPr>
        <w:t>（</w:t>
      </w:r>
      <w:r>
        <w:rPr>
          <w:rFonts w:hint="eastAsia" w:ascii="楷体" w:hAnsi="楷体" w:eastAsia="楷体" w:cs="楷体"/>
          <w:spacing w:val="-4"/>
          <w:sz w:val="30"/>
          <w:szCs w:val="30"/>
          <w:lang w:val="en-US" w:eastAsia="zh-CN"/>
        </w:rPr>
        <w:t>三</w:t>
      </w:r>
      <w:r>
        <w:rPr>
          <w:rFonts w:hint="eastAsia" w:ascii="楷体" w:hAnsi="楷体" w:eastAsia="楷体" w:cs="楷体"/>
          <w:spacing w:val="-4"/>
          <w:sz w:val="30"/>
          <w:szCs w:val="30"/>
        </w:rPr>
        <w:t>）比赛规则</w:t>
      </w:r>
    </w:p>
    <w:p w14:paraId="28DE4732">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比赛</w:t>
      </w:r>
      <w:r>
        <w:rPr>
          <w:rFonts w:hint="eastAsia" w:ascii="仿宋" w:hAnsi="仿宋" w:eastAsia="仿宋" w:cs="仿宋"/>
          <w:spacing w:val="-4"/>
          <w:sz w:val="30"/>
          <w:szCs w:val="30"/>
        </w:rPr>
        <w:t>内容分为</w:t>
      </w:r>
      <w:r>
        <w:rPr>
          <w:rFonts w:hint="eastAsia" w:ascii="仿宋" w:hAnsi="仿宋" w:eastAsia="仿宋" w:cs="仿宋"/>
          <w:spacing w:val="-4"/>
          <w:sz w:val="30"/>
          <w:szCs w:val="30"/>
          <w:lang w:val="en-US" w:eastAsia="zh-CN"/>
        </w:rPr>
        <w:t>两项</w:t>
      </w:r>
      <w:r>
        <w:rPr>
          <w:rFonts w:hint="eastAsia" w:ascii="仿宋" w:hAnsi="仿宋" w:eastAsia="仿宋" w:cs="仿宋"/>
          <w:spacing w:val="-4"/>
          <w:sz w:val="30"/>
          <w:szCs w:val="30"/>
        </w:rPr>
        <w:t>项：实际操作（以下简称“实操”）以及</w:t>
      </w:r>
      <w:r>
        <w:rPr>
          <w:rFonts w:hint="eastAsia" w:ascii="仿宋" w:hAnsi="仿宋" w:eastAsia="仿宋" w:cs="仿宋"/>
          <w:spacing w:val="-4"/>
          <w:sz w:val="30"/>
          <w:szCs w:val="30"/>
          <w:lang w:val="en-US" w:eastAsia="zh-CN"/>
        </w:rPr>
        <w:t>路演</w:t>
      </w:r>
      <w:r>
        <w:rPr>
          <w:rFonts w:hint="eastAsia" w:ascii="仿宋" w:hAnsi="仿宋" w:eastAsia="仿宋" w:cs="仿宋"/>
          <w:spacing w:val="-4"/>
          <w:sz w:val="30"/>
          <w:szCs w:val="30"/>
        </w:rPr>
        <w:t>答辩（以下简称“</w:t>
      </w:r>
      <w:r>
        <w:rPr>
          <w:rFonts w:hint="eastAsia" w:ascii="仿宋" w:hAnsi="仿宋" w:eastAsia="仿宋" w:cs="仿宋"/>
          <w:spacing w:val="-4"/>
          <w:sz w:val="30"/>
          <w:szCs w:val="30"/>
          <w:lang w:val="en-US" w:eastAsia="zh-CN"/>
        </w:rPr>
        <w:t>路演</w:t>
      </w:r>
      <w:r>
        <w:rPr>
          <w:rFonts w:hint="eastAsia" w:ascii="仿宋" w:hAnsi="仿宋" w:eastAsia="仿宋" w:cs="仿宋"/>
          <w:spacing w:val="-4"/>
          <w:sz w:val="30"/>
          <w:szCs w:val="30"/>
        </w:rPr>
        <w:t>”）。</w:t>
      </w:r>
    </w:p>
    <w:p w14:paraId="08674302">
      <w:pPr>
        <w:keepNext w:val="0"/>
        <w:keepLines w:val="0"/>
        <w:pageBreakBefore w:val="0"/>
        <w:widowControl/>
        <w:kinsoku w:val="0"/>
        <w:wordWrap/>
        <w:overflowPunct/>
        <w:topLinePunct w:val="0"/>
        <w:autoSpaceDE w:val="0"/>
        <w:autoSpaceDN w:val="0"/>
        <w:bidi w:val="0"/>
        <w:adjustRightInd w:val="0"/>
        <w:snapToGrid w:val="0"/>
        <w:spacing w:line="240" w:lineRule="auto"/>
        <w:ind w:firstLine="494"/>
        <w:textAlignment w:val="baseline"/>
        <w:rPr>
          <w:rFonts w:hint="eastAsia" w:ascii="宋体" w:hAnsi="宋体" w:eastAsia="宋体" w:cs="宋体"/>
        </w:rPr>
      </w:pPr>
      <w:r>
        <w:rPr>
          <w:rFonts w:hint="eastAsia" w:ascii="宋体" w:hAnsi="宋体" w:eastAsia="宋体" w:cs="宋体"/>
          <w:position w:val="-107"/>
        </w:rPr>
        <w:drawing>
          <wp:inline distT="0" distB="0" distL="0" distR="0">
            <wp:extent cx="4787900" cy="341947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8"/>
                    <a:stretch>
                      <a:fillRect/>
                    </a:stretch>
                  </pic:blipFill>
                  <pic:spPr>
                    <a:xfrm>
                      <a:off x="0" y="0"/>
                      <a:ext cx="4788407" cy="3419855"/>
                    </a:xfrm>
                    <a:prstGeom prst="rect">
                      <a:avLst/>
                    </a:prstGeom>
                  </pic:spPr>
                </pic:pic>
              </a:graphicData>
            </a:graphic>
          </wp:inline>
        </w:drawing>
      </w:r>
    </w:p>
    <w:p w14:paraId="125D70D3">
      <w:pPr>
        <w:keepNext w:val="0"/>
        <w:keepLines w:val="0"/>
        <w:pageBreakBefore w:val="0"/>
        <w:widowControl/>
        <w:kinsoku w:val="0"/>
        <w:wordWrap/>
        <w:overflowPunct/>
        <w:topLinePunct w:val="0"/>
        <w:autoSpaceDE w:val="0"/>
        <w:autoSpaceDN w:val="0"/>
        <w:bidi w:val="0"/>
        <w:adjustRightInd w:val="0"/>
        <w:snapToGrid w:val="0"/>
        <w:spacing w:line="400" w:lineRule="exact"/>
        <w:ind w:left="3485"/>
        <w:textAlignment w:val="baseline"/>
        <w:rPr>
          <w:rFonts w:hint="eastAsia" w:ascii="宋体" w:hAnsi="宋体" w:eastAsia="宋体" w:cs="宋体"/>
          <w:sz w:val="19"/>
          <w:szCs w:val="19"/>
        </w:rPr>
      </w:pPr>
      <w:r>
        <w:rPr>
          <w:rFonts w:hint="eastAsia" w:ascii="宋体" w:hAnsi="宋体" w:eastAsia="宋体" w:cs="宋体"/>
          <w:spacing w:val="7"/>
          <w:sz w:val="19"/>
          <w:szCs w:val="19"/>
        </w:rPr>
        <w:t>图表-比赛场地示意图</w:t>
      </w:r>
    </w:p>
    <w:p w14:paraId="7D424F7E">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1.实操（满分</w:t>
      </w:r>
      <w:r>
        <w:rPr>
          <w:rFonts w:hint="eastAsia" w:ascii="仿宋" w:hAnsi="仿宋" w:eastAsia="仿宋" w:cs="仿宋"/>
          <w:spacing w:val="-4"/>
          <w:sz w:val="30"/>
          <w:szCs w:val="30"/>
          <w:lang w:val="en-US" w:eastAsia="zh-CN"/>
        </w:rPr>
        <w:t>8</w:t>
      </w:r>
      <w:r>
        <w:rPr>
          <w:rFonts w:hint="eastAsia" w:ascii="仿宋" w:hAnsi="仿宋" w:eastAsia="仿宋" w:cs="仿宋"/>
          <w:spacing w:val="-4"/>
          <w:sz w:val="30"/>
          <w:szCs w:val="30"/>
        </w:rPr>
        <w:t>0分，时限300秒）</w:t>
      </w:r>
    </w:p>
    <w:p w14:paraId="79F36DB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设备放入水中，向裁判示意准备就绪后，听从裁判指令开始比赛，水池底部布置了八个目标物，共分为四种颜色，每种颜色各有两个。此外，还设有一个特定的目标点位，四个侧面设有八个开口。参赛者需自行设计并装配</w:t>
      </w:r>
      <w:r>
        <w:rPr>
          <w:rFonts w:hint="eastAsia" w:ascii="仿宋" w:hAnsi="仿宋" w:eastAsia="仿宋" w:cs="仿宋"/>
          <w:spacing w:val="-4"/>
          <w:sz w:val="30"/>
          <w:szCs w:val="30"/>
          <w:lang w:val="en-US" w:eastAsia="zh-CN"/>
        </w:rPr>
        <w:t>水下</w:t>
      </w:r>
      <w:r>
        <w:rPr>
          <w:rFonts w:hint="eastAsia" w:ascii="仿宋" w:hAnsi="仿宋" w:eastAsia="仿宋" w:cs="仿宋"/>
          <w:spacing w:val="-4"/>
          <w:sz w:val="30"/>
          <w:szCs w:val="30"/>
        </w:rPr>
        <w:t>航行器上的专用捕捉装置，捕捉方式可以是抓取，也可以是推移，具体取决于参赛者的设计与策略。捕捉到的目标物需按照颜色分类，并分别通过八个开口，放置到目标点位，即方形筐内。每侧开口需放置两个同一颜色的目标物（每个开口放置一个），这不仅考验了参赛者的操作技能，也对其策略规划提出了挑战。一旦所有目标物被成功放置后，航行器浮出水面任务结束，或直至比赛时间结束。每个目标物</w:t>
      </w:r>
      <w:r>
        <w:rPr>
          <w:rFonts w:hint="eastAsia" w:ascii="仿宋" w:hAnsi="仿宋" w:eastAsia="仿宋" w:cs="仿宋"/>
          <w:spacing w:val="-4"/>
          <w:sz w:val="30"/>
          <w:szCs w:val="30"/>
          <w:lang w:val="en-US" w:eastAsia="zh-CN"/>
        </w:rPr>
        <w:t>7</w:t>
      </w:r>
      <w:r>
        <w:rPr>
          <w:rFonts w:hint="eastAsia" w:ascii="仿宋" w:hAnsi="仿宋" w:eastAsia="仿宋" w:cs="仿宋"/>
          <w:spacing w:val="-4"/>
          <w:sz w:val="30"/>
          <w:szCs w:val="30"/>
        </w:rPr>
        <w:t>分，</w:t>
      </w:r>
      <w:r>
        <w:rPr>
          <w:rFonts w:hint="eastAsia" w:ascii="仿宋" w:hAnsi="仿宋" w:eastAsia="仿宋" w:cs="仿宋"/>
          <w:spacing w:val="-4"/>
          <w:sz w:val="30"/>
          <w:szCs w:val="30"/>
          <w:lang w:val="en-US" w:eastAsia="zh-CN"/>
        </w:rPr>
        <w:t>航行器最后浮出水面4分，</w:t>
      </w:r>
      <w:r>
        <w:rPr>
          <w:rFonts w:hint="eastAsia" w:ascii="仿宋" w:hAnsi="仿宋" w:eastAsia="仿宋" w:cs="仿宋"/>
          <w:spacing w:val="-4"/>
          <w:sz w:val="30"/>
          <w:szCs w:val="30"/>
        </w:rPr>
        <w:t>满分</w:t>
      </w:r>
      <w:r>
        <w:rPr>
          <w:rFonts w:hint="eastAsia" w:ascii="仿宋" w:hAnsi="仿宋" w:eastAsia="仿宋" w:cs="仿宋"/>
          <w:spacing w:val="-4"/>
          <w:sz w:val="30"/>
          <w:szCs w:val="30"/>
          <w:lang w:val="en-US" w:eastAsia="zh-CN"/>
        </w:rPr>
        <w:t>60</w:t>
      </w:r>
      <w:r>
        <w:rPr>
          <w:rFonts w:hint="eastAsia" w:ascii="仿宋" w:hAnsi="仿宋" w:eastAsia="仿宋" w:cs="仿宋"/>
          <w:spacing w:val="-4"/>
          <w:sz w:val="30"/>
          <w:szCs w:val="30"/>
        </w:rPr>
        <w:t>分。</w:t>
      </w:r>
    </w:p>
    <w:p w14:paraId="55BC77A7">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比赛将根据参赛者在完全完成任务的同时，严格遵循赛事规则，并以最短的时间完成任务来评定时间得分，满分为20分。</w:t>
      </w:r>
    </w:p>
    <w:p w14:paraId="2B552340">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lang w:val="en-US" w:eastAsia="zh-CN"/>
        </w:rPr>
        <w:t>2</w:t>
      </w:r>
      <w:r>
        <w:rPr>
          <w:rFonts w:hint="eastAsia" w:ascii="仿宋" w:hAnsi="仿宋" w:eastAsia="仿宋" w:cs="仿宋"/>
          <w:spacing w:val="-4"/>
          <w:sz w:val="30"/>
          <w:szCs w:val="30"/>
        </w:rPr>
        <w:t>.答辩（满分20分，时限300秒）</w:t>
      </w:r>
    </w:p>
    <w:p w14:paraId="7B97E0C5">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（1）航行器设计展示：参赛者将生动展现其航行器的设计理念与独到创意，通过演讲、表演或任何富有创意的形式，全方位展示航行器的核心亮点与卓越功能。时限180秒。</w:t>
      </w:r>
    </w:p>
    <w:p w14:paraId="7CCB9B57">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（2）评委互动问答：参赛者将面对评委的提问，这一环节旨在检验参赛者对航行器设计的深入理解、技术细节的精准把握以及应变与沟通能力。时限120秒。</w:t>
      </w:r>
    </w:p>
    <w:p w14:paraId="429BDB2F">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4.评分标准</w:t>
      </w:r>
    </w:p>
    <w:p w14:paraId="621759D1">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按总分高低排序，高者胜；总分相同，按时间排序，短者胜；时间相同，按重量排序，轻者胜。</w:t>
      </w:r>
    </w:p>
    <w:tbl>
      <w:tblPr>
        <w:tblStyle w:val="6"/>
        <w:tblW w:w="8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4"/>
        <w:gridCol w:w="6484"/>
        <w:gridCol w:w="809"/>
      </w:tblGrid>
      <w:tr w14:paraId="6613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24" w:type="dxa"/>
            <w:vAlign w:val="top"/>
          </w:tcPr>
          <w:p w14:paraId="2839BFE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63"/>
              <w:textAlignment w:val="baseline"/>
              <w:rPr>
                <w:rFonts w:hint="eastAsia" w:ascii="宋体" w:hAnsi="宋体" w:eastAsia="宋体" w:cs="宋体"/>
              </w:rPr>
            </w:pPr>
            <w:r>
              <w:rPr>
                <w:rFonts w:hint="eastAsia" w:ascii="宋体" w:hAnsi="宋体" w:eastAsia="宋体" w:cs="宋体"/>
                <w:b/>
                <w:bCs/>
                <w:spacing w:val="-9"/>
              </w:rPr>
              <w:t>评分项</w:t>
            </w:r>
          </w:p>
        </w:tc>
        <w:tc>
          <w:tcPr>
            <w:tcW w:w="6484" w:type="dxa"/>
            <w:vAlign w:val="top"/>
          </w:tcPr>
          <w:p w14:paraId="4C81013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642"/>
              <w:textAlignment w:val="baseline"/>
              <w:rPr>
                <w:rFonts w:hint="eastAsia" w:ascii="宋体" w:hAnsi="宋体" w:eastAsia="宋体" w:cs="宋体"/>
              </w:rPr>
            </w:pPr>
            <w:r>
              <w:rPr>
                <w:rFonts w:hint="eastAsia" w:ascii="宋体" w:hAnsi="宋体" w:eastAsia="宋体" w:cs="宋体"/>
                <w:b/>
                <w:bCs/>
                <w:spacing w:val="-8"/>
              </w:rPr>
              <w:t>评分标准</w:t>
            </w:r>
          </w:p>
        </w:tc>
        <w:tc>
          <w:tcPr>
            <w:tcW w:w="809" w:type="dxa"/>
            <w:vAlign w:val="top"/>
          </w:tcPr>
          <w:p w14:paraId="38460F8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43"/>
              <w:textAlignment w:val="baseline"/>
              <w:rPr>
                <w:rFonts w:hint="eastAsia" w:ascii="宋体" w:hAnsi="宋体" w:eastAsia="宋体" w:cs="宋体"/>
              </w:rPr>
            </w:pPr>
            <w:r>
              <w:rPr>
                <w:rFonts w:hint="eastAsia" w:ascii="宋体" w:hAnsi="宋体" w:eastAsia="宋体" w:cs="宋体"/>
                <w:b/>
                <w:bCs/>
                <w:spacing w:val="-14"/>
              </w:rPr>
              <w:t>分值</w:t>
            </w:r>
          </w:p>
        </w:tc>
      </w:tr>
      <w:tr w14:paraId="13733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1024" w:type="dxa"/>
            <w:vMerge w:val="restart"/>
            <w:tcBorders>
              <w:bottom w:val="nil"/>
            </w:tcBorders>
            <w:vAlign w:val="top"/>
          </w:tcPr>
          <w:p w14:paraId="204A2E4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B685F88">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759A80C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D7D9F6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1E73DA8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07"/>
              <w:textAlignment w:val="baseline"/>
              <w:rPr>
                <w:rFonts w:hint="eastAsia" w:ascii="宋体" w:hAnsi="宋体" w:eastAsia="宋体" w:cs="宋体"/>
              </w:rPr>
            </w:pPr>
            <w:r>
              <w:rPr>
                <w:rFonts w:hint="eastAsia" w:ascii="宋体" w:hAnsi="宋体" w:eastAsia="宋体" w:cs="宋体"/>
                <w:spacing w:val="-12"/>
              </w:rPr>
              <w:t>实操</w:t>
            </w:r>
          </w:p>
          <w:p w14:paraId="276DA22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62"/>
              <w:textAlignment w:val="baseline"/>
              <w:rPr>
                <w:rFonts w:hint="eastAsia" w:ascii="宋体" w:hAnsi="宋体" w:eastAsia="宋体" w:cs="宋体"/>
              </w:rPr>
            </w:pPr>
            <w:r>
              <w:rPr>
                <w:rFonts w:hint="eastAsia" w:ascii="宋体" w:hAnsi="宋体" w:eastAsia="宋体" w:cs="宋体"/>
                <w:spacing w:val="-5"/>
              </w:rPr>
              <w:t>（60）</w:t>
            </w:r>
          </w:p>
        </w:tc>
        <w:tc>
          <w:tcPr>
            <w:tcW w:w="6484" w:type="dxa"/>
            <w:vAlign w:val="top"/>
          </w:tcPr>
          <w:p w14:paraId="4709864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2" w:right="101" w:firstLine="10"/>
              <w:jc w:val="both"/>
              <w:textAlignment w:val="baseline"/>
              <w:rPr>
                <w:rFonts w:hint="eastAsia" w:ascii="宋体" w:hAnsi="宋体" w:eastAsia="宋体" w:cs="宋体"/>
              </w:rPr>
            </w:pPr>
            <w:r>
              <w:rPr>
                <w:rFonts w:hint="eastAsia" w:ascii="宋体" w:hAnsi="宋体" w:eastAsia="宋体" w:cs="宋体"/>
                <w:spacing w:val="-8"/>
              </w:rPr>
              <w:t>1、水池底部八个目标物，四色各两及一个目标点位</w:t>
            </w:r>
            <w:r>
              <w:rPr>
                <w:rFonts w:hint="eastAsia" w:ascii="宋体" w:hAnsi="宋体" w:eastAsia="宋体" w:cs="宋体"/>
                <w:spacing w:val="-9"/>
              </w:rPr>
              <w:t>,四侧有八开口。参赛者需自制航行器捕捉装置，</w:t>
            </w:r>
            <w:r>
              <w:rPr>
                <w:rFonts w:hint="eastAsia" w:ascii="宋体" w:hAnsi="宋体" w:eastAsia="宋体" w:cs="宋体"/>
                <w:spacing w:val="-1"/>
              </w:rPr>
              <w:t>捕捉并分类目标物，通过开口置入点位筐内，每</w:t>
            </w:r>
            <w:r>
              <w:rPr>
                <w:rFonts w:hint="eastAsia" w:ascii="宋体" w:hAnsi="宋体" w:eastAsia="宋体" w:cs="宋体"/>
                <w:spacing w:val="-1"/>
                <w:lang w:val="en-US" w:eastAsia="zh-CN"/>
              </w:rPr>
              <w:t>开口处一个同色目标物</w:t>
            </w:r>
            <w:r>
              <w:rPr>
                <w:rFonts w:hint="eastAsia" w:ascii="宋体" w:hAnsi="宋体" w:eastAsia="宋体" w:cs="宋体"/>
                <w:spacing w:val="-1"/>
              </w:rPr>
              <w:t>。完成即浮出水面，每</w:t>
            </w:r>
            <w:r>
              <w:rPr>
                <w:rFonts w:hint="eastAsia" w:ascii="宋体" w:hAnsi="宋体" w:eastAsia="宋体" w:cs="宋体"/>
                <w:spacing w:val="-1"/>
                <w:lang w:val="en-US" w:eastAsia="zh-CN"/>
              </w:rPr>
              <w:t>目标</w:t>
            </w:r>
            <w:r>
              <w:rPr>
                <w:rFonts w:hint="eastAsia" w:ascii="宋体" w:hAnsi="宋体" w:eastAsia="宋体" w:cs="宋体"/>
                <w:spacing w:val="-1"/>
              </w:rPr>
              <w:t>物</w:t>
            </w:r>
            <w:r>
              <w:rPr>
                <w:rFonts w:hint="eastAsia" w:ascii="宋体" w:hAnsi="宋体" w:eastAsia="宋体" w:cs="宋体"/>
                <w:spacing w:val="-1"/>
                <w:lang w:val="en-US" w:eastAsia="zh-CN"/>
              </w:rPr>
              <w:t>7</w:t>
            </w:r>
            <w:r>
              <w:rPr>
                <w:rFonts w:hint="eastAsia" w:ascii="宋体" w:hAnsi="宋体" w:eastAsia="宋体" w:cs="宋体"/>
                <w:spacing w:val="-1"/>
              </w:rPr>
              <w:t>分，</w:t>
            </w:r>
            <w:r>
              <w:rPr>
                <w:rFonts w:hint="eastAsia" w:ascii="宋体" w:hAnsi="宋体" w:eastAsia="宋体" w:cs="宋体"/>
                <w:spacing w:val="-1"/>
                <w:lang w:val="en-US" w:eastAsia="zh-CN"/>
              </w:rPr>
              <w:t>最后浮出水面4分，</w:t>
            </w:r>
            <w:r>
              <w:rPr>
                <w:rFonts w:hint="eastAsia" w:ascii="宋体" w:hAnsi="宋体" w:eastAsia="宋体" w:cs="宋体"/>
                <w:spacing w:val="-1"/>
              </w:rPr>
              <w:t>满分</w:t>
            </w:r>
            <w:r>
              <w:rPr>
                <w:rFonts w:hint="eastAsia" w:ascii="宋体" w:hAnsi="宋体" w:eastAsia="宋体" w:cs="宋体"/>
                <w:spacing w:val="-1"/>
                <w:lang w:val="en-US" w:eastAsia="zh-CN"/>
              </w:rPr>
              <w:t>6</w:t>
            </w:r>
            <w:r>
              <w:rPr>
                <w:rFonts w:hint="eastAsia" w:ascii="宋体" w:hAnsi="宋体" w:eastAsia="宋体" w:cs="宋体"/>
                <w:spacing w:val="-1"/>
              </w:rPr>
              <w:t>0</w:t>
            </w:r>
            <w:r>
              <w:rPr>
                <w:rFonts w:hint="eastAsia" w:ascii="宋体" w:hAnsi="宋体" w:eastAsia="宋体" w:cs="宋体"/>
                <w:spacing w:val="-1"/>
                <w:lang w:val="en-US" w:eastAsia="zh-CN"/>
              </w:rPr>
              <w:t>分</w:t>
            </w:r>
            <w:r>
              <w:rPr>
                <w:rFonts w:hint="eastAsia" w:ascii="宋体" w:hAnsi="宋体" w:eastAsia="宋体" w:cs="宋体"/>
                <w:spacing w:val="-1"/>
              </w:rPr>
              <w:t>。</w:t>
            </w:r>
          </w:p>
        </w:tc>
        <w:tc>
          <w:tcPr>
            <w:tcW w:w="809" w:type="dxa"/>
            <w:vAlign w:val="top"/>
          </w:tcPr>
          <w:p w14:paraId="1D24A2F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5A3B74BD">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14E9C7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69"/>
              <w:textAlignment w:val="baseline"/>
              <w:rPr>
                <w:rFonts w:hint="eastAsia" w:ascii="宋体" w:hAnsi="宋体" w:eastAsia="宋体" w:cs="宋体"/>
              </w:rPr>
            </w:pPr>
            <w:r>
              <w:rPr>
                <w:rFonts w:hint="eastAsia" w:ascii="宋体" w:hAnsi="宋体" w:eastAsia="宋体" w:cs="宋体"/>
                <w:spacing w:val="-4"/>
                <w:lang w:val="en-US" w:eastAsia="zh-CN"/>
              </w:rPr>
              <w:t>6</w:t>
            </w:r>
            <w:r>
              <w:rPr>
                <w:rFonts w:hint="eastAsia" w:ascii="宋体" w:hAnsi="宋体" w:eastAsia="宋体" w:cs="宋体"/>
                <w:spacing w:val="-4"/>
              </w:rPr>
              <w:t>0</w:t>
            </w:r>
          </w:p>
        </w:tc>
      </w:tr>
      <w:tr w14:paraId="5F56F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1024" w:type="dxa"/>
            <w:vMerge w:val="continue"/>
            <w:tcBorders>
              <w:top w:val="nil"/>
            </w:tcBorders>
            <w:vAlign w:val="top"/>
          </w:tcPr>
          <w:p w14:paraId="2239CFE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3634EEB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3" w:right="102" w:hanging="7"/>
              <w:jc w:val="both"/>
              <w:textAlignment w:val="baseline"/>
              <w:rPr>
                <w:rFonts w:hint="eastAsia" w:ascii="宋体" w:hAnsi="宋体" w:eastAsia="宋体" w:cs="宋体"/>
              </w:rPr>
            </w:pPr>
            <w:r>
              <w:rPr>
                <w:rFonts w:hint="eastAsia" w:ascii="宋体" w:hAnsi="宋体" w:eastAsia="宋体" w:cs="宋体"/>
                <w:spacing w:val="-14"/>
              </w:rPr>
              <w:t>2、时间得分：T≤60秒得20分，60秒＜T≤90秒得17.5</w:t>
            </w:r>
            <w:r>
              <w:rPr>
                <w:rFonts w:hint="eastAsia" w:ascii="宋体" w:hAnsi="宋体" w:eastAsia="宋体" w:cs="宋体"/>
                <w:spacing w:val="4"/>
              </w:rPr>
              <w:t>分，90秒＜T≤120秒得15分，120秒＜T≤150秒得</w:t>
            </w:r>
            <w:r>
              <w:rPr>
                <w:rFonts w:hint="eastAsia" w:ascii="宋体" w:hAnsi="宋体" w:eastAsia="宋体" w:cs="宋体"/>
                <w:spacing w:val="-1"/>
              </w:rPr>
              <w:t>12.5分，150秒＜T≤180秒得10分，180秒＜T≤210</w:t>
            </w:r>
            <w:r>
              <w:rPr>
                <w:rFonts w:hint="eastAsia" w:ascii="宋体" w:hAnsi="宋体" w:eastAsia="宋体" w:cs="宋体"/>
                <w:spacing w:val="-9"/>
              </w:rPr>
              <w:t>秒得7.5分，210秒＜T≤240秒得5分，</w:t>
            </w:r>
            <w:r>
              <w:rPr>
                <w:rFonts w:hint="eastAsia" w:ascii="宋体" w:hAnsi="宋体" w:eastAsia="宋体" w:cs="宋体"/>
                <w:spacing w:val="-10"/>
              </w:rPr>
              <w:t>240秒＜T≤270</w:t>
            </w:r>
            <w:r>
              <w:rPr>
                <w:rFonts w:hint="eastAsia" w:ascii="宋体" w:hAnsi="宋体" w:eastAsia="宋体" w:cs="宋体"/>
                <w:spacing w:val="-2"/>
              </w:rPr>
              <w:t>秒得2.5分，T＞270秒得0分。</w:t>
            </w:r>
          </w:p>
        </w:tc>
        <w:tc>
          <w:tcPr>
            <w:tcW w:w="809" w:type="dxa"/>
            <w:vAlign w:val="top"/>
          </w:tcPr>
          <w:p w14:paraId="6820F5C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5A4062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2C1602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73"/>
              <w:textAlignment w:val="baseline"/>
              <w:rPr>
                <w:rFonts w:hint="eastAsia" w:ascii="宋体" w:hAnsi="宋体" w:eastAsia="宋体" w:cs="宋体"/>
              </w:rPr>
            </w:pPr>
            <w:r>
              <w:rPr>
                <w:rFonts w:hint="eastAsia" w:ascii="宋体" w:hAnsi="宋体" w:eastAsia="宋体" w:cs="宋体"/>
                <w:spacing w:val="-6"/>
              </w:rPr>
              <w:t>20</w:t>
            </w:r>
          </w:p>
        </w:tc>
      </w:tr>
      <w:tr w14:paraId="5BF90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24" w:type="dxa"/>
            <w:vMerge w:val="restart"/>
            <w:tcBorders>
              <w:bottom w:val="nil"/>
            </w:tcBorders>
            <w:vAlign w:val="top"/>
          </w:tcPr>
          <w:p w14:paraId="30B35F3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69F0A3A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1B036D2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000DBCC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A6DC48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5EF056F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7B4E9D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7F77A85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22B6F39A">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5AAE6A7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01"/>
              <w:textAlignment w:val="baseline"/>
              <w:rPr>
                <w:rFonts w:hint="eastAsia" w:ascii="宋体" w:hAnsi="宋体" w:eastAsia="宋体" w:cs="宋体"/>
              </w:rPr>
            </w:pPr>
            <w:r>
              <w:rPr>
                <w:rFonts w:hint="eastAsia" w:ascii="宋体" w:hAnsi="宋体" w:eastAsia="宋体" w:cs="宋体"/>
                <w:spacing w:val="-9"/>
                <w:lang w:val="en-US" w:eastAsia="zh-CN"/>
              </w:rPr>
              <w:t>路演</w:t>
            </w:r>
            <w:r>
              <w:rPr>
                <w:rFonts w:hint="eastAsia" w:ascii="宋体" w:hAnsi="宋体" w:eastAsia="宋体" w:cs="宋体"/>
                <w:spacing w:val="-9"/>
              </w:rPr>
              <w:t>答辩</w:t>
            </w:r>
          </w:p>
          <w:p w14:paraId="2BB917E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62"/>
              <w:textAlignment w:val="baseline"/>
              <w:rPr>
                <w:rFonts w:hint="eastAsia" w:ascii="宋体" w:hAnsi="宋体" w:eastAsia="宋体" w:cs="宋体"/>
              </w:rPr>
            </w:pPr>
            <w:r>
              <w:rPr>
                <w:rFonts w:hint="eastAsia" w:ascii="宋体" w:hAnsi="宋体" w:eastAsia="宋体" w:cs="宋体"/>
                <w:spacing w:val="-5"/>
              </w:rPr>
              <w:t>（20）</w:t>
            </w:r>
          </w:p>
        </w:tc>
        <w:tc>
          <w:tcPr>
            <w:tcW w:w="6484" w:type="dxa"/>
            <w:vAlign w:val="top"/>
          </w:tcPr>
          <w:p w14:paraId="5A2D7A0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33"/>
              <w:textAlignment w:val="baseline"/>
              <w:rPr>
                <w:rFonts w:hint="eastAsia" w:ascii="宋体" w:hAnsi="宋体" w:eastAsia="宋体" w:cs="宋体"/>
              </w:rPr>
            </w:pPr>
            <w:r>
              <w:rPr>
                <w:rFonts w:hint="eastAsia" w:ascii="宋体" w:hAnsi="宋体" w:eastAsia="宋体" w:cs="宋体"/>
                <w:spacing w:val="-2"/>
              </w:rPr>
              <w:t>1、团队介绍：问候评委，简述团队分工。</w:t>
            </w:r>
          </w:p>
        </w:tc>
        <w:tc>
          <w:tcPr>
            <w:tcW w:w="809" w:type="dxa"/>
            <w:vAlign w:val="top"/>
          </w:tcPr>
          <w:p w14:paraId="6E1AFCB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63"/>
              <w:textAlignment w:val="baseline"/>
              <w:rPr>
                <w:rFonts w:hint="eastAsia" w:ascii="宋体" w:hAnsi="宋体" w:eastAsia="宋体" w:cs="宋体"/>
              </w:rPr>
            </w:pPr>
            <w:r>
              <w:rPr>
                <w:rFonts w:hint="eastAsia" w:ascii="宋体" w:hAnsi="宋体" w:eastAsia="宋体" w:cs="宋体"/>
                <w:position w:val="2"/>
              </w:rPr>
              <w:t>1</w:t>
            </w:r>
          </w:p>
        </w:tc>
      </w:tr>
      <w:tr w14:paraId="0EBBC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24" w:type="dxa"/>
            <w:vMerge w:val="continue"/>
            <w:tcBorders>
              <w:top w:val="nil"/>
              <w:bottom w:val="nil"/>
            </w:tcBorders>
            <w:vAlign w:val="top"/>
          </w:tcPr>
          <w:p w14:paraId="5D4DCA6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757E060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6"/>
              <w:textAlignment w:val="baseline"/>
              <w:rPr>
                <w:rFonts w:hint="eastAsia" w:ascii="宋体" w:hAnsi="宋体" w:eastAsia="宋体" w:cs="宋体"/>
              </w:rPr>
            </w:pPr>
            <w:r>
              <w:rPr>
                <w:rFonts w:hint="eastAsia" w:ascii="宋体" w:hAnsi="宋体" w:eastAsia="宋体" w:cs="宋体"/>
                <w:spacing w:val="-1"/>
              </w:rPr>
              <w:t>2、项目概述：概括项目目标与进度。</w:t>
            </w:r>
          </w:p>
        </w:tc>
        <w:tc>
          <w:tcPr>
            <w:tcW w:w="809" w:type="dxa"/>
            <w:vAlign w:val="top"/>
          </w:tcPr>
          <w:p w14:paraId="601D7C4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63"/>
              <w:textAlignment w:val="baseline"/>
              <w:rPr>
                <w:rFonts w:hint="eastAsia" w:ascii="宋体" w:hAnsi="宋体" w:eastAsia="宋体" w:cs="宋体"/>
              </w:rPr>
            </w:pPr>
            <w:r>
              <w:rPr>
                <w:rFonts w:hint="eastAsia" w:ascii="宋体" w:hAnsi="宋体" w:eastAsia="宋体" w:cs="宋体"/>
                <w:position w:val="2"/>
              </w:rPr>
              <w:t>1</w:t>
            </w:r>
          </w:p>
        </w:tc>
      </w:tr>
      <w:tr w14:paraId="499C1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24" w:type="dxa"/>
            <w:vMerge w:val="continue"/>
            <w:tcBorders>
              <w:top w:val="nil"/>
              <w:bottom w:val="nil"/>
            </w:tcBorders>
            <w:vAlign w:val="top"/>
          </w:tcPr>
          <w:p w14:paraId="41CC511B">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716791A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rPr>
            </w:pPr>
            <w:r>
              <w:rPr>
                <w:rFonts w:hint="eastAsia" w:ascii="宋体" w:hAnsi="宋体" w:eastAsia="宋体" w:cs="宋体"/>
                <w:spacing w:val="-1"/>
              </w:rPr>
              <w:t>3、设计方案：简述设计理念与关键要素。</w:t>
            </w:r>
          </w:p>
        </w:tc>
        <w:tc>
          <w:tcPr>
            <w:tcW w:w="809" w:type="dxa"/>
            <w:vAlign w:val="top"/>
          </w:tcPr>
          <w:p w14:paraId="63D0AAB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45"/>
              <w:textAlignment w:val="baseline"/>
              <w:rPr>
                <w:rFonts w:hint="eastAsia" w:ascii="宋体" w:hAnsi="宋体" w:eastAsia="宋体" w:cs="宋体"/>
              </w:rPr>
            </w:pPr>
            <w:r>
              <w:rPr>
                <w:rFonts w:hint="eastAsia" w:ascii="宋体" w:hAnsi="宋体" w:eastAsia="宋体" w:cs="宋体"/>
                <w:position w:val="2"/>
              </w:rPr>
              <w:t>2</w:t>
            </w:r>
          </w:p>
        </w:tc>
      </w:tr>
      <w:tr w14:paraId="5339D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24" w:type="dxa"/>
            <w:vMerge w:val="continue"/>
            <w:tcBorders>
              <w:top w:val="nil"/>
              <w:bottom w:val="nil"/>
            </w:tcBorders>
            <w:vAlign w:val="top"/>
          </w:tcPr>
          <w:p w14:paraId="2025A213">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46B3B09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1"/>
              <w:textAlignment w:val="baseline"/>
              <w:rPr>
                <w:rFonts w:hint="eastAsia" w:ascii="宋体" w:hAnsi="宋体" w:eastAsia="宋体" w:cs="宋体"/>
              </w:rPr>
            </w:pPr>
            <w:r>
              <w:rPr>
                <w:rFonts w:hint="eastAsia" w:ascii="宋体" w:hAnsi="宋体" w:eastAsia="宋体" w:cs="宋体"/>
                <w:spacing w:val="-1"/>
              </w:rPr>
              <w:t>4、编程逻辑：介绍编程思路与算法选择。</w:t>
            </w:r>
          </w:p>
        </w:tc>
        <w:tc>
          <w:tcPr>
            <w:tcW w:w="809" w:type="dxa"/>
            <w:vAlign w:val="top"/>
          </w:tcPr>
          <w:p w14:paraId="155D647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48"/>
              <w:textAlignment w:val="baseline"/>
              <w:rPr>
                <w:rFonts w:hint="eastAsia" w:ascii="宋体" w:hAnsi="宋体" w:eastAsia="宋体" w:cs="宋体"/>
              </w:rPr>
            </w:pPr>
            <w:r>
              <w:rPr>
                <w:rFonts w:hint="eastAsia" w:ascii="宋体" w:hAnsi="宋体" w:eastAsia="宋体" w:cs="宋体"/>
              </w:rPr>
              <w:t>3</w:t>
            </w:r>
          </w:p>
        </w:tc>
      </w:tr>
      <w:tr w14:paraId="46140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24" w:type="dxa"/>
            <w:vMerge w:val="continue"/>
            <w:tcBorders>
              <w:top w:val="nil"/>
              <w:bottom w:val="nil"/>
            </w:tcBorders>
            <w:vAlign w:val="top"/>
          </w:tcPr>
          <w:p w14:paraId="2F73CD8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412B11E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8"/>
              <w:textAlignment w:val="baseline"/>
              <w:rPr>
                <w:rFonts w:hint="eastAsia" w:ascii="宋体" w:hAnsi="宋体" w:eastAsia="宋体" w:cs="宋体"/>
              </w:rPr>
            </w:pPr>
            <w:r>
              <w:rPr>
                <w:rFonts w:hint="eastAsia" w:ascii="宋体" w:hAnsi="宋体" w:eastAsia="宋体" w:cs="宋体"/>
                <w:spacing w:val="-1"/>
              </w:rPr>
              <w:t>5、创新特色：突出设计独特性与前瞻性。</w:t>
            </w:r>
          </w:p>
        </w:tc>
        <w:tc>
          <w:tcPr>
            <w:tcW w:w="809" w:type="dxa"/>
            <w:vAlign w:val="top"/>
          </w:tcPr>
          <w:p w14:paraId="2D79B2C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48"/>
              <w:textAlignment w:val="baseline"/>
              <w:rPr>
                <w:rFonts w:hint="eastAsia" w:ascii="宋体" w:hAnsi="宋体" w:eastAsia="宋体" w:cs="宋体"/>
              </w:rPr>
            </w:pPr>
            <w:r>
              <w:rPr>
                <w:rFonts w:hint="eastAsia" w:ascii="宋体" w:hAnsi="宋体" w:eastAsia="宋体" w:cs="宋体"/>
              </w:rPr>
              <w:t>3</w:t>
            </w:r>
          </w:p>
        </w:tc>
      </w:tr>
      <w:tr w14:paraId="508EC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24" w:type="dxa"/>
            <w:vMerge w:val="continue"/>
            <w:tcBorders>
              <w:top w:val="nil"/>
              <w:bottom w:val="nil"/>
            </w:tcBorders>
            <w:vAlign w:val="top"/>
          </w:tcPr>
          <w:p w14:paraId="5A050BD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5F09F67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4"/>
              <w:textAlignment w:val="baseline"/>
              <w:rPr>
                <w:rFonts w:hint="eastAsia" w:ascii="宋体" w:hAnsi="宋体" w:eastAsia="宋体" w:cs="宋体"/>
              </w:rPr>
            </w:pPr>
            <w:r>
              <w:rPr>
                <w:rFonts w:hint="eastAsia" w:ascii="宋体" w:hAnsi="宋体" w:eastAsia="宋体" w:cs="宋体"/>
                <w:spacing w:val="-1"/>
              </w:rPr>
              <w:t>6、技术实现：描述技术过程与科学原理。</w:t>
            </w:r>
          </w:p>
        </w:tc>
        <w:tc>
          <w:tcPr>
            <w:tcW w:w="809" w:type="dxa"/>
            <w:vAlign w:val="top"/>
          </w:tcPr>
          <w:p w14:paraId="59812B9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48"/>
              <w:textAlignment w:val="baseline"/>
              <w:rPr>
                <w:rFonts w:hint="eastAsia" w:ascii="宋体" w:hAnsi="宋体" w:eastAsia="宋体" w:cs="宋体"/>
              </w:rPr>
            </w:pPr>
            <w:r>
              <w:rPr>
                <w:rFonts w:hint="eastAsia" w:ascii="宋体" w:hAnsi="宋体" w:eastAsia="宋体" w:cs="宋体"/>
              </w:rPr>
              <w:t>3</w:t>
            </w:r>
          </w:p>
        </w:tc>
      </w:tr>
      <w:tr w14:paraId="2C7F5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24" w:type="dxa"/>
            <w:vMerge w:val="continue"/>
            <w:tcBorders>
              <w:top w:val="nil"/>
              <w:bottom w:val="nil"/>
            </w:tcBorders>
            <w:vAlign w:val="top"/>
          </w:tcPr>
          <w:p w14:paraId="790B5DC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06F77CF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19"/>
              <w:textAlignment w:val="baseline"/>
              <w:rPr>
                <w:rFonts w:hint="eastAsia" w:ascii="宋体" w:hAnsi="宋体" w:eastAsia="宋体" w:cs="宋体"/>
              </w:rPr>
            </w:pPr>
            <w:r>
              <w:rPr>
                <w:rFonts w:hint="eastAsia" w:ascii="宋体" w:hAnsi="宋体" w:eastAsia="宋体" w:cs="宋体"/>
                <w:spacing w:val="-1"/>
              </w:rPr>
              <w:t>7、项目总结：强调主要成果与亮点。</w:t>
            </w:r>
          </w:p>
        </w:tc>
        <w:tc>
          <w:tcPr>
            <w:tcW w:w="809" w:type="dxa"/>
            <w:vAlign w:val="top"/>
          </w:tcPr>
          <w:p w14:paraId="7BFEA08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48"/>
              <w:textAlignment w:val="baseline"/>
              <w:rPr>
                <w:rFonts w:hint="eastAsia" w:ascii="宋体" w:hAnsi="宋体" w:eastAsia="宋体" w:cs="宋体"/>
              </w:rPr>
            </w:pPr>
            <w:r>
              <w:rPr>
                <w:rFonts w:hint="eastAsia" w:ascii="宋体" w:hAnsi="宋体" w:eastAsia="宋体" w:cs="宋体"/>
              </w:rPr>
              <w:t>3</w:t>
            </w:r>
          </w:p>
        </w:tc>
      </w:tr>
      <w:tr w14:paraId="6A304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024" w:type="dxa"/>
            <w:vMerge w:val="continue"/>
            <w:tcBorders>
              <w:top w:val="nil"/>
            </w:tcBorders>
            <w:vAlign w:val="top"/>
          </w:tcPr>
          <w:p w14:paraId="1901F67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15ED349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0" w:right="101" w:hanging="7"/>
              <w:jc w:val="left"/>
              <w:textAlignment w:val="baseline"/>
              <w:rPr>
                <w:rFonts w:hint="eastAsia" w:ascii="宋体" w:hAnsi="宋体" w:eastAsia="宋体" w:cs="宋体"/>
              </w:rPr>
            </w:pPr>
            <w:r>
              <w:rPr>
                <w:rFonts w:hint="eastAsia" w:ascii="宋体" w:hAnsi="宋体" w:eastAsia="宋体" w:cs="宋体"/>
                <w:spacing w:val="-1"/>
              </w:rPr>
              <w:t>8、展示效果：评估展示创意</w:t>
            </w:r>
            <w:r>
              <w:rPr>
                <w:rFonts w:hint="eastAsia" w:ascii="宋体" w:hAnsi="宋体" w:eastAsia="宋体" w:cs="宋体"/>
                <w:spacing w:val="-21"/>
              </w:rPr>
              <w:t>。</w:t>
            </w:r>
          </w:p>
        </w:tc>
        <w:tc>
          <w:tcPr>
            <w:tcW w:w="809" w:type="dxa"/>
            <w:vAlign w:val="top"/>
          </w:tcPr>
          <w:p w14:paraId="1CB7067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41"/>
              <w:textAlignment w:val="baseline"/>
              <w:rPr>
                <w:rFonts w:hint="eastAsia" w:ascii="宋体" w:hAnsi="宋体" w:eastAsia="宋体" w:cs="宋体"/>
              </w:rPr>
            </w:pPr>
            <w:r>
              <w:rPr>
                <w:rFonts w:hint="eastAsia" w:ascii="宋体" w:hAnsi="宋体" w:eastAsia="宋体" w:cs="宋体"/>
                <w:position w:val="2"/>
              </w:rPr>
              <w:t>4</w:t>
            </w:r>
          </w:p>
        </w:tc>
      </w:tr>
      <w:tr w14:paraId="079A3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24" w:type="dxa"/>
            <w:vAlign w:val="top"/>
          </w:tcPr>
          <w:p w14:paraId="36C6D94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64"/>
              <w:textAlignment w:val="baseline"/>
              <w:rPr>
                <w:rFonts w:hint="eastAsia" w:ascii="宋体" w:hAnsi="宋体" w:eastAsia="宋体" w:cs="宋体"/>
              </w:rPr>
            </w:pPr>
            <w:r>
              <w:rPr>
                <w:rFonts w:hint="eastAsia" w:ascii="宋体" w:hAnsi="宋体" w:eastAsia="宋体" w:cs="宋体"/>
                <w:spacing w:val="-7"/>
              </w:rPr>
              <w:t>减分项</w:t>
            </w:r>
          </w:p>
        </w:tc>
        <w:tc>
          <w:tcPr>
            <w:tcW w:w="6484" w:type="dxa"/>
            <w:vAlign w:val="top"/>
          </w:tcPr>
          <w:p w14:paraId="62DBD04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60" w:firstLine="6"/>
              <w:textAlignment w:val="baseline"/>
              <w:rPr>
                <w:rFonts w:hint="eastAsia" w:ascii="宋体" w:hAnsi="宋体" w:eastAsia="宋体" w:cs="宋体"/>
              </w:rPr>
            </w:pPr>
            <w:r>
              <w:rPr>
                <w:rFonts w:hint="eastAsia" w:ascii="宋体" w:hAnsi="宋体" w:eastAsia="宋体" w:cs="宋体"/>
                <w:spacing w:val="-7"/>
              </w:rPr>
              <w:t>1、申请设备维修，每次减5分，最多可申请两次，</w:t>
            </w:r>
            <w:r>
              <w:rPr>
                <w:rFonts w:hint="eastAsia" w:ascii="宋体" w:hAnsi="宋体" w:eastAsia="宋体" w:cs="宋体"/>
                <w:spacing w:val="-2"/>
              </w:rPr>
              <w:t>维修中计时不停止，维修后航行器从起点出发。</w:t>
            </w:r>
          </w:p>
        </w:tc>
        <w:tc>
          <w:tcPr>
            <w:tcW w:w="809" w:type="dxa"/>
            <w:vAlign w:val="top"/>
          </w:tcPr>
          <w:p w14:paraId="000F491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8"/>
              <w:textAlignment w:val="baseline"/>
              <w:rPr>
                <w:rFonts w:hint="eastAsia" w:ascii="宋体" w:hAnsi="宋体" w:eastAsia="宋体" w:cs="宋体"/>
              </w:rPr>
            </w:pPr>
            <w:r>
              <w:rPr>
                <w:rFonts w:hint="eastAsia" w:ascii="宋体" w:hAnsi="宋体" w:eastAsia="宋体" w:cs="宋体"/>
                <w:spacing w:val="-2"/>
              </w:rPr>
              <w:t>-10</w:t>
            </w:r>
          </w:p>
        </w:tc>
      </w:tr>
      <w:tr w14:paraId="08A1C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1024" w:type="dxa"/>
            <w:vMerge w:val="restart"/>
            <w:tcBorders>
              <w:top w:val="nil"/>
            </w:tcBorders>
            <w:vAlign w:val="top"/>
          </w:tcPr>
          <w:p w14:paraId="71147545">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572FCD9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7" w:right="101" w:hanging="9"/>
              <w:textAlignment w:val="baseline"/>
              <w:rPr>
                <w:rFonts w:hint="eastAsia" w:ascii="宋体" w:hAnsi="宋体" w:eastAsia="宋体" w:cs="宋体"/>
              </w:rPr>
            </w:pPr>
            <w:r>
              <w:rPr>
                <w:rFonts w:hint="eastAsia" w:ascii="宋体" w:hAnsi="宋体" w:eastAsia="宋体" w:cs="宋体"/>
                <w:spacing w:val="-7"/>
                <w:lang w:val="en-US" w:eastAsia="zh-CN"/>
              </w:rPr>
              <w:t>2</w:t>
            </w:r>
            <w:r>
              <w:rPr>
                <w:rFonts w:hint="eastAsia" w:ascii="宋体" w:hAnsi="宋体" w:eastAsia="宋体" w:cs="宋体"/>
                <w:spacing w:val="-7"/>
              </w:rPr>
              <w:t>、根据技术参数对设备进行严格检录，对于任何不</w:t>
            </w:r>
            <w:r>
              <w:rPr>
                <w:rFonts w:hint="eastAsia" w:ascii="宋体" w:hAnsi="宋体" w:eastAsia="宋体" w:cs="宋体"/>
                <w:spacing w:val="-2"/>
              </w:rPr>
              <w:t>符合既定标准的项目，每项将逐一扣除10分。</w:t>
            </w:r>
          </w:p>
        </w:tc>
        <w:tc>
          <w:tcPr>
            <w:tcW w:w="809" w:type="dxa"/>
            <w:vAlign w:val="top"/>
          </w:tcPr>
          <w:p w14:paraId="11F939F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r>
      <w:tr w14:paraId="5262A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024" w:type="dxa"/>
            <w:vMerge w:val="continue"/>
            <w:tcBorders>
              <w:top w:val="nil"/>
            </w:tcBorders>
            <w:vAlign w:val="top"/>
          </w:tcPr>
          <w:p w14:paraId="33A504B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c>
          <w:tcPr>
            <w:tcW w:w="6484" w:type="dxa"/>
            <w:vAlign w:val="top"/>
          </w:tcPr>
          <w:p w14:paraId="6902530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1" w:right="103" w:hanging="10"/>
              <w:jc w:val="both"/>
              <w:textAlignment w:val="baseline"/>
              <w:rPr>
                <w:rFonts w:hint="eastAsia" w:ascii="宋体" w:hAnsi="宋体" w:eastAsia="宋体" w:cs="宋体"/>
              </w:rPr>
            </w:pPr>
            <w:r>
              <w:rPr>
                <w:rFonts w:hint="eastAsia" w:ascii="宋体" w:hAnsi="宋体" w:eastAsia="宋体" w:cs="宋体"/>
                <w:spacing w:val="-7"/>
                <w:lang w:val="en-US" w:eastAsia="zh-CN"/>
              </w:rPr>
              <w:t>3</w:t>
            </w:r>
            <w:r>
              <w:rPr>
                <w:rFonts w:hint="eastAsia" w:ascii="宋体" w:hAnsi="宋体" w:eastAsia="宋体" w:cs="宋体"/>
                <w:spacing w:val="-7"/>
              </w:rPr>
              <w:t>、若因操作失误导致方形筐被推倒，或放置不当致</w:t>
            </w:r>
            <w:r>
              <w:rPr>
                <w:rFonts w:hint="eastAsia" w:ascii="宋体" w:hAnsi="宋体" w:eastAsia="宋体" w:cs="宋体"/>
                <w:spacing w:val="-1"/>
              </w:rPr>
              <w:t>使目标物从筐中原位置脱出、出界等情况，最终成绩将以方形筐内实际剩余的目标物为准进行计算。</w:t>
            </w:r>
          </w:p>
        </w:tc>
        <w:tc>
          <w:tcPr>
            <w:tcW w:w="809" w:type="dxa"/>
            <w:vAlign w:val="top"/>
          </w:tcPr>
          <w:p w14:paraId="08DDA9E9">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tc>
      </w:tr>
    </w:tbl>
    <w:p w14:paraId="3A04DB46">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0"/>
        <w:rPr>
          <w:rFonts w:hint="eastAsia" w:ascii="宋体" w:hAnsi="宋体" w:eastAsia="宋体" w:cs="宋体"/>
          <w:b/>
          <w:bCs/>
          <w:spacing w:val="-3"/>
          <w:sz w:val="28"/>
          <w:szCs w:val="28"/>
          <w:lang w:val="en-US" w:eastAsia="zh-CN"/>
        </w:rPr>
      </w:pPr>
    </w:p>
    <w:p w14:paraId="182A1A7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0"/>
        <w:rPr>
          <w:rFonts w:hint="eastAsia" w:ascii="黑体" w:hAnsi="黑体" w:eastAsia="黑体" w:cs="黑体"/>
          <w:b w:val="0"/>
          <w:bCs w:val="0"/>
          <w:spacing w:val="-3"/>
          <w:sz w:val="30"/>
          <w:szCs w:val="30"/>
        </w:rPr>
      </w:pPr>
      <w:r>
        <w:rPr>
          <w:rFonts w:hint="eastAsia" w:ascii="黑体" w:hAnsi="黑体" w:eastAsia="黑体" w:cs="黑体"/>
          <w:b w:val="0"/>
          <w:bCs w:val="0"/>
          <w:spacing w:val="-3"/>
          <w:sz w:val="30"/>
          <w:szCs w:val="30"/>
          <w:lang w:val="en-US" w:eastAsia="zh-CN"/>
        </w:rPr>
        <w:t>五</w:t>
      </w:r>
      <w:r>
        <w:rPr>
          <w:rFonts w:hint="eastAsia" w:ascii="黑体" w:hAnsi="黑体" w:eastAsia="黑体" w:cs="黑体"/>
          <w:b w:val="0"/>
          <w:bCs w:val="0"/>
          <w:spacing w:val="-3"/>
          <w:sz w:val="30"/>
          <w:szCs w:val="30"/>
        </w:rPr>
        <w:t>、参赛技术要求</w:t>
      </w:r>
    </w:p>
    <w:p w14:paraId="1D260C3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rPr>
      </w:pPr>
    </w:p>
    <w:tbl>
      <w:tblPr>
        <w:tblStyle w:val="6"/>
        <w:tblW w:w="82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
        <w:gridCol w:w="7296"/>
      </w:tblGrid>
      <w:tr w14:paraId="2ED9F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925" w:type="dxa"/>
            <w:vAlign w:val="top"/>
          </w:tcPr>
          <w:p w14:paraId="511E6B9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9"/>
              <w:textAlignment w:val="baseline"/>
              <w:rPr>
                <w:rFonts w:hint="eastAsia" w:ascii="宋体" w:hAnsi="宋体" w:eastAsia="宋体" w:cs="宋体"/>
              </w:rPr>
            </w:pPr>
            <w:r>
              <w:rPr>
                <w:rFonts w:hint="eastAsia" w:ascii="宋体" w:hAnsi="宋体" w:eastAsia="宋体" w:cs="宋体"/>
                <w:b/>
                <w:bCs/>
                <w:spacing w:val="-12"/>
              </w:rPr>
              <w:t>名称</w:t>
            </w:r>
          </w:p>
        </w:tc>
        <w:tc>
          <w:tcPr>
            <w:tcW w:w="7296" w:type="dxa"/>
            <w:vAlign w:val="top"/>
          </w:tcPr>
          <w:p w14:paraId="71581E6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819"/>
              <w:textAlignment w:val="baseline"/>
              <w:rPr>
                <w:rFonts w:hint="eastAsia" w:ascii="宋体" w:hAnsi="宋体" w:eastAsia="宋体" w:cs="宋体"/>
              </w:rPr>
            </w:pPr>
            <w:r>
              <w:rPr>
                <w:rFonts w:hint="eastAsia" w:ascii="宋体" w:hAnsi="宋体" w:eastAsia="宋体" w:cs="宋体"/>
                <w:b/>
                <w:bCs/>
                <w:spacing w:val="-5"/>
              </w:rPr>
              <w:t>技术参数说明</w:t>
            </w:r>
          </w:p>
        </w:tc>
      </w:tr>
      <w:tr w14:paraId="3621F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6" w:hRule="atLeast"/>
        </w:trPr>
        <w:tc>
          <w:tcPr>
            <w:tcW w:w="925" w:type="dxa"/>
            <w:vAlign w:val="top"/>
          </w:tcPr>
          <w:p w14:paraId="7CA798E4">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51701417">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06E01F41">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5993892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36" w:right="178" w:hanging="107"/>
              <w:textAlignment w:val="baseline"/>
              <w:rPr>
                <w:rFonts w:hint="eastAsia" w:ascii="宋体" w:hAnsi="宋体" w:eastAsia="宋体" w:cs="宋体"/>
              </w:rPr>
            </w:pPr>
            <w:r>
              <w:rPr>
                <w:rFonts w:hint="eastAsia" w:ascii="宋体" w:hAnsi="宋体" w:eastAsia="宋体" w:cs="宋体"/>
                <w:spacing w:val="-24"/>
              </w:rPr>
              <w:t>电路</w:t>
            </w:r>
            <w:r>
              <w:rPr>
                <w:rFonts w:hint="eastAsia" w:ascii="宋体" w:hAnsi="宋体" w:eastAsia="宋体" w:cs="宋体"/>
              </w:rPr>
              <w:t>板</w:t>
            </w:r>
          </w:p>
        </w:tc>
        <w:tc>
          <w:tcPr>
            <w:tcW w:w="7296" w:type="dxa"/>
            <w:vAlign w:val="top"/>
          </w:tcPr>
          <w:p w14:paraId="3C0EF77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2" w:right="106" w:firstLine="10"/>
              <w:jc w:val="both"/>
              <w:textAlignment w:val="baseline"/>
              <w:rPr>
                <w:rFonts w:hint="eastAsia" w:ascii="宋体" w:hAnsi="宋体" w:eastAsia="宋体" w:cs="宋体"/>
              </w:rPr>
            </w:pPr>
            <w:r>
              <w:rPr>
                <w:rFonts w:hint="eastAsia" w:ascii="宋体" w:hAnsi="宋体" w:eastAsia="宋体" w:cs="宋体"/>
                <w:spacing w:val="-4"/>
              </w:rPr>
              <w:t>每台设备限装不超过2块电路板，且对于有缆的设备，至少</w:t>
            </w:r>
            <w:r>
              <w:rPr>
                <w:rFonts w:hint="eastAsia" w:ascii="宋体" w:hAnsi="宋体" w:eastAsia="宋体" w:cs="宋体"/>
                <w:spacing w:val="-3"/>
              </w:rPr>
              <w:t>应有1块电路板内置可插拔更换的保险丝装置，以确保安全</w:t>
            </w:r>
            <w:r>
              <w:rPr>
                <w:rFonts w:hint="eastAsia" w:ascii="宋体" w:hAnsi="宋体" w:eastAsia="宋体" w:cs="宋体"/>
                <w:spacing w:val="2"/>
              </w:rPr>
              <w:t>；可插拔更换保险丝装置要求并不适用于无缆设备。每套</w:t>
            </w:r>
            <w:r>
              <w:rPr>
                <w:rFonts w:hint="eastAsia" w:ascii="宋体" w:hAnsi="宋体" w:eastAsia="宋体" w:cs="宋体"/>
                <w:spacing w:val="-6"/>
              </w:rPr>
              <w:t>设备至少有1块电路板需配备功率检测接口，以便于进行功</w:t>
            </w:r>
            <w:r>
              <w:rPr>
                <w:rFonts w:hint="eastAsia" w:ascii="宋体" w:hAnsi="宋体" w:eastAsia="宋体" w:cs="宋体"/>
                <w:spacing w:val="2"/>
              </w:rPr>
              <w:t>率检测，且航行器的各个</w:t>
            </w:r>
            <w:r>
              <w:rPr>
                <w:rFonts w:hint="eastAsia" w:ascii="宋体" w:hAnsi="宋体" w:eastAsia="宋体" w:cs="宋体"/>
                <w:spacing w:val="2"/>
                <w:lang w:val="en-US" w:eastAsia="zh-CN"/>
              </w:rPr>
              <w:t>马达</w:t>
            </w:r>
            <w:r>
              <w:rPr>
                <w:rFonts w:hint="eastAsia" w:ascii="宋体" w:hAnsi="宋体" w:eastAsia="宋体" w:cs="宋体"/>
                <w:spacing w:val="2"/>
              </w:rPr>
              <w:t>在</w:t>
            </w:r>
            <w:r>
              <w:rPr>
                <w:rFonts w:hint="eastAsia" w:ascii="宋体" w:hAnsi="宋体" w:eastAsia="宋体" w:cs="宋体"/>
                <w:spacing w:val="2"/>
                <w:lang w:val="en-US" w:eastAsia="zh-CN"/>
              </w:rPr>
              <w:t>水中</w:t>
            </w:r>
            <w:r>
              <w:rPr>
                <w:rFonts w:hint="eastAsia" w:ascii="宋体" w:hAnsi="宋体" w:eastAsia="宋体" w:cs="宋体"/>
                <w:spacing w:val="2"/>
              </w:rPr>
              <w:t>同时运行时</w:t>
            </w:r>
            <w:r>
              <w:rPr>
                <w:rFonts w:hint="eastAsia" w:ascii="宋体" w:hAnsi="宋体" w:eastAsia="宋体" w:cs="宋体"/>
                <w:spacing w:val="2"/>
                <w:lang w:eastAsia="zh-CN"/>
              </w:rPr>
              <w:t>（</w:t>
            </w:r>
            <w:r>
              <w:rPr>
                <w:rFonts w:hint="eastAsia" w:ascii="宋体" w:hAnsi="宋体" w:eastAsia="宋体" w:cs="宋体"/>
                <w:spacing w:val="2"/>
                <w:lang w:val="en-US" w:eastAsia="zh-CN"/>
              </w:rPr>
              <w:t>不包含捕捉装置的电机</w:t>
            </w:r>
            <w:r>
              <w:rPr>
                <w:rFonts w:hint="eastAsia" w:ascii="宋体" w:hAnsi="宋体" w:eastAsia="宋体" w:cs="宋体"/>
                <w:spacing w:val="2"/>
                <w:lang w:eastAsia="zh-CN"/>
              </w:rPr>
              <w:t>）</w:t>
            </w:r>
            <w:r>
              <w:rPr>
                <w:rFonts w:hint="eastAsia" w:ascii="宋体" w:hAnsi="宋体" w:eastAsia="宋体" w:cs="宋体"/>
                <w:spacing w:val="2"/>
              </w:rPr>
              <w:t>，其总功率必须被严格限定在70瓦以内，以确保设备的安全与高效运行</w:t>
            </w:r>
            <w:r>
              <w:rPr>
                <w:rFonts w:hint="eastAsia" w:ascii="宋体" w:hAnsi="宋体" w:eastAsia="宋体" w:cs="宋体"/>
              </w:rPr>
              <w:t>。</w:t>
            </w:r>
          </w:p>
        </w:tc>
      </w:tr>
      <w:tr w14:paraId="2DC89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925" w:type="dxa"/>
            <w:vAlign w:val="top"/>
          </w:tcPr>
          <w:p w14:paraId="10C8492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29"/>
              <w:textAlignment w:val="baseline"/>
              <w:rPr>
                <w:rFonts w:hint="eastAsia" w:ascii="宋体" w:hAnsi="宋体" w:eastAsia="宋体" w:cs="宋体"/>
              </w:rPr>
            </w:pPr>
            <w:r>
              <w:rPr>
                <w:rFonts w:hint="eastAsia" w:ascii="宋体" w:hAnsi="宋体" w:eastAsia="宋体" w:cs="宋体"/>
                <w:spacing w:val="-24"/>
              </w:rPr>
              <w:t>电源</w:t>
            </w:r>
          </w:p>
          <w:p w14:paraId="2ADDB16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9"/>
              <w:textAlignment w:val="baseline"/>
              <w:rPr>
                <w:rFonts w:hint="eastAsia" w:ascii="宋体" w:hAnsi="宋体" w:eastAsia="宋体" w:cs="宋体"/>
              </w:rPr>
            </w:pPr>
            <w:r>
              <w:rPr>
                <w:rFonts w:hint="eastAsia" w:ascii="宋体" w:hAnsi="宋体" w:eastAsia="宋体" w:cs="宋体"/>
                <w:spacing w:val="-14"/>
              </w:rPr>
              <w:t>系统</w:t>
            </w:r>
          </w:p>
        </w:tc>
        <w:tc>
          <w:tcPr>
            <w:tcW w:w="7296" w:type="dxa"/>
            <w:vAlign w:val="top"/>
          </w:tcPr>
          <w:p w14:paraId="7CBE39E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06" w:firstLine="1"/>
              <w:jc w:val="both"/>
              <w:textAlignment w:val="baseline"/>
              <w:rPr>
                <w:rFonts w:hint="eastAsia" w:ascii="宋体" w:hAnsi="宋体" w:eastAsia="宋体" w:cs="宋体"/>
              </w:rPr>
            </w:pPr>
            <w:r>
              <w:rPr>
                <w:rFonts w:hint="eastAsia" w:ascii="宋体" w:hAnsi="宋体" w:eastAsia="宋体" w:cs="宋体"/>
                <w:spacing w:val="-3"/>
              </w:rPr>
              <w:t>参赛者需自备电池，类型不受限制，但仅限使</w:t>
            </w:r>
            <w:r>
              <w:rPr>
                <w:rFonts w:hint="eastAsia" w:ascii="宋体" w:hAnsi="宋体" w:eastAsia="宋体" w:cs="宋体"/>
                <w:spacing w:val="-4"/>
              </w:rPr>
              <w:t>用1个。该电</w:t>
            </w:r>
            <w:r>
              <w:rPr>
                <w:rFonts w:hint="eastAsia" w:ascii="宋体" w:hAnsi="宋体" w:eastAsia="宋体" w:cs="宋体"/>
                <w:spacing w:val="-3"/>
              </w:rPr>
              <w:t>池的总输出电压控制在12.6V以内，并且其最大容量不得超</w:t>
            </w:r>
            <w:r>
              <w:rPr>
                <w:rFonts w:hint="eastAsia" w:ascii="宋体" w:hAnsi="宋体" w:eastAsia="宋体" w:cs="宋体"/>
                <w:spacing w:val="-2"/>
              </w:rPr>
              <w:t>过9Ah，以确保比赛的安全与公平性。</w:t>
            </w:r>
          </w:p>
        </w:tc>
      </w:tr>
      <w:tr w14:paraId="2D804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925" w:type="dxa"/>
            <w:vAlign w:val="top"/>
          </w:tcPr>
          <w:p w14:paraId="4EB4E2B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5621908C">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4F97024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8"/>
              <w:textAlignment w:val="baseline"/>
              <w:rPr>
                <w:rFonts w:hint="eastAsia" w:ascii="宋体" w:hAnsi="宋体" w:eastAsia="宋体" w:cs="宋体"/>
              </w:rPr>
            </w:pPr>
            <w:r>
              <w:rPr>
                <w:rFonts w:hint="eastAsia" w:ascii="宋体" w:hAnsi="宋体" w:eastAsia="宋体" w:cs="宋体"/>
                <w:spacing w:val="-9"/>
              </w:rPr>
              <w:t>驱动</w:t>
            </w:r>
          </w:p>
          <w:p w14:paraId="6C79186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9"/>
              <w:textAlignment w:val="baseline"/>
              <w:rPr>
                <w:rFonts w:hint="eastAsia" w:ascii="宋体" w:hAnsi="宋体" w:eastAsia="宋体" w:cs="宋体"/>
              </w:rPr>
            </w:pPr>
            <w:r>
              <w:rPr>
                <w:rFonts w:hint="eastAsia" w:ascii="宋体" w:hAnsi="宋体" w:eastAsia="宋体" w:cs="宋体"/>
                <w:spacing w:val="-14"/>
              </w:rPr>
              <w:t>系统</w:t>
            </w:r>
          </w:p>
        </w:tc>
        <w:tc>
          <w:tcPr>
            <w:tcW w:w="7296" w:type="dxa"/>
            <w:vAlign w:val="top"/>
          </w:tcPr>
          <w:p w14:paraId="645E1A9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33"/>
              <w:textAlignment w:val="baseline"/>
              <w:rPr>
                <w:rFonts w:hint="eastAsia" w:ascii="宋体" w:hAnsi="宋体" w:eastAsia="宋体" w:cs="宋体"/>
              </w:rPr>
            </w:pPr>
            <w:r>
              <w:rPr>
                <w:rFonts w:hint="eastAsia" w:ascii="宋体" w:hAnsi="宋体" w:eastAsia="宋体" w:cs="宋体"/>
                <w:spacing w:val="2"/>
              </w:rPr>
              <w:t>每个参赛作品的马达数量上限为4个，舵机数量不超过</w:t>
            </w:r>
            <w:r>
              <w:rPr>
                <w:rFonts w:hint="eastAsia" w:ascii="宋体" w:hAnsi="宋体" w:eastAsia="宋体" w:cs="宋体"/>
                <w:spacing w:val="1"/>
              </w:rPr>
              <w:t>2个</w:t>
            </w:r>
          </w:p>
          <w:p w14:paraId="25373EB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2" w:right="106" w:firstLine="21"/>
              <w:jc w:val="both"/>
              <w:textAlignment w:val="baseline"/>
              <w:rPr>
                <w:rFonts w:hint="eastAsia" w:ascii="宋体" w:hAnsi="宋体" w:eastAsia="宋体" w:cs="宋体"/>
              </w:rPr>
            </w:pPr>
            <w:r>
              <w:rPr>
                <w:rFonts w:hint="eastAsia" w:ascii="宋体" w:hAnsi="宋体" w:eastAsia="宋体" w:cs="宋体"/>
                <w:spacing w:val="-4"/>
              </w:rPr>
              <w:t>。马达的工作电压需保持在12.6V以下；舵机的电压则不得</w:t>
            </w:r>
            <w:r>
              <w:rPr>
                <w:rFonts w:hint="eastAsia" w:ascii="宋体" w:hAnsi="宋体" w:eastAsia="宋体" w:cs="宋体"/>
                <w:spacing w:val="-3"/>
              </w:rPr>
              <w:t>超过8.4V，且其扭矩需控制在20kg*cm以内。此外，螺旋桨数量不得超过4个，外径限定在30mm至45mm之间，叶片数量</w:t>
            </w:r>
            <w:r>
              <w:rPr>
                <w:rFonts w:hint="eastAsia" w:ascii="宋体" w:hAnsi="宋体" w:eastAsia="宋体" w:cs="宋体"/>
                <w:spacing w:val="-6"/>
              </w:rPr>
              <w:t>不限。</w:t>
            </w:r>
          </w:p>
        </w:tc>
      </w:tr>
      <w:tr w14:paraId="60A8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25" w:type="dxa"/>
            <w:vAlign w:val="top"/>
          </w:tcPr>
          <w:p w14:paraId="2954709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9"/>
              <w:textAlignment w:val="baseline"/>
              <w:rPr>
                <w:rFonts w:hint="eastAsia" w:ascii="宋体" w:hAnsi="宋体" w:eastAsia="宋体" w:cs="宋体"/>
              </w:rPr>
            </w:pPr>
            <w:r>
              <w:rPr>
                <w:rFonts w:hint="eastAsia" w:ascii="宋体" w:hAnsi="宋体" w:eastAsia="宋体" w:cs="宋体"/>
                <w:spacing w:val="-9"/>
              </w:rPr>
              <w:t>控制</w:t>
            </w:r>
          </w:p>
          <w:p w14:paraId="3C291835">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5"/>
              <w:textAlignment w:val="baseline"/>
              <w:rPr>
                <w:rFonts w:hint="eastAsia" w:ascii="宋体" w:hAnsi="宋体" w:eastAsia="宋体" w:cs="宋体"/>
              </w:rPr>
            </w:pPr>
            <w:r>
              <w:rPr>
                <w:rFonts w:hint="eastAsia" w:ascii="宋体" w:hAnsi="宋体" w:eastAsia="宋体" w:cs="宋体"/>
                <w:spacing w:val="-12"/>
              </w:rPr>
              <w:t>方式</w:t>
            </w:r>
          </w:p>
        </w:tc>
        <w:tc>
          <w:tcPr>
            <w:tcW w:w="7296" w:type="dxa"/>
            <w:vAlign w:val="top"/>
          </w:tcPr>
          <w:p w14:paraId="3D672DA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4" w:right="106" w:firstLine="3"/>
              <w:textAlignment w:val="baseline"/>
              <w:rPr>
                <w:rFonts w:hint="eastAsia" w:ascii="宋体" w:hAnsi="宋体" w:eastAsia="宋体" w:cs="宋体"/>
              </w:rPr>
            </w:pPr>
            <w:r>
              <w:rPr>
                <w:rFonts w:hint="eastAsia" w:ascii="宋体" w:hAnsi="宋体" w:eastAsia="宋体" w:cs="宋体"/>
                <w:spacing w:val="2"/>
              </w:rPr>
              <w:t>作品控制方式不限，但禁止拖拽操作。设备需具备适应场</w:t>
            </w:r>
            <w:r>
              <w:rPr>
                <w:rFonts w:hint="eastAsia" w:ascii="宋体" w:hAnsi="宋体" w:eastAsia="宋体" w:cs="宋体"/>
                <w:spacing w:val="-1"/>
              </w:rPr>
              <w:t>地多变条件（如深度、光照、波动度等变化）的能力。</w:t>
            </w:r>
          </w:p>
        </w:tc>
      </w:tr>
      <w:tr w14:paraId="320BC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5" w:type="dxa"/>
            <w:vAlign w:val="top"/>
          </w:tcPr>
          <w:p w14:paraId="1C362F2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3"/>
              <w:textAlignment w:val="baseline"/>
              <w:rPr>
                <w:rFonts w:hint="eastAsia" w:ascii="宋体" w:hAnsi="宋体" w:eastAsia="宋体" w:cs="宋体"/>
              </w:rPr>
            </w:pPr>
            <w:r>
              <w:rPr>
                <w:rFonts w:hint="eastAsia" w:ascii="宋体" w:hAnsi="宋体" w:eastAsia="宋体" w:cs="宋体"/>
                <w:spacing w:val="-12"/>
              </w:rPr>
              <w:t>结构</w:t>
            </w:r>
          </w:p>
          <w:p w14:paraId="73B2254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9"/>
              <w:textAlignment w:val="baseline"/>
              <w:rPr>
                <w:rFonts w:hint="eastAsia" w:ascii="宋体" w:hAnsi="宋体" w:eastAsia="宋体" w:cs="宋体"/>
              </w:rPr>
            </w:pPr>
            <w:r>
              <w:rPr>
                <w:rFonts w:hint="eastAsia" w:ascii="宋体" w:hAnsi="宋体" w:eastAsia="宋体" w:cs="宋体"/>
                <w:spacing w:val="-9"/>
              </w:rPr>
              <w:t>组件</w:t>
            </w:r>
          </w:p>
        </w:tc>
        <w:tc>
          <w:tcPr>
            <w:tcW w:w="7296" w:type="dxa"/>
            <w:vAlign w:val="top"/>
          </w:tcPr>
          <w:p w14:paraId="37657F3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5" w:right="106" w:firstLine="3"/>
              <w:textAlignment w:val="baseline"/>
              <w:rPr>
                <w:rFonts w:hint="eastAsia" w:ascii="宋体" w:hAnsi="宋体" w:eastAsia="宋体" w:cs="宋体"/>
              </w:rPr>
            </w:pPr>
            <w:r>
              <w:rPr>
                <w:rFonts w:hint="eastAsia" w:ascii="宋体" w:hAnsi="宋体" w:eastAsia="宋体" w:cs="宋体"/>
                <w:spacing w:val="-3"/>
              </w:rPr>
              <w:t>结构件不限，可选用PVC管、积木等多种材料搭建</w:t>
            </w:r>
            <w:r>
              <w:rPr>
                <w:rFonts w:hint="eastAsia" w:ascii="宋体" w:hAnsi="宋体" w:eastAsia="宋体" w:cs="宋体"/>
                <w:spacing w:val="-4"/>
              </w:rPr>
              <w:t>，并辅以</w:t>
            </w:r>
            <w:r>
              <w:rPr>
                <w:rFonts w:hint="eastAsia" w:ascii="宋体" w:hAnsi="宋体" w:eastAsia="宋体" w:cs="宋体"/>
                <w:spacing w:val="-1"/>
              </w:rPr>
              <w:t>泡沫、金属等配件以精确调节作品的浮力与重力平衡。</w:t>
            </w:r>
          </w:p>
        </w:tc>
      </w:tr>
      <w:tr w14:paraId="08FFF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5" w:type="dxa"/>
            <w:vAlign w:val="top"/>
          </w:tcPr>
          <w:p w14:paraId="1D17C05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17"/>
              <w:textAlignment w:val="baseline"/>
              <w:rPr>
                <w:rFonts w:hint="eastAsia" w:ascii="宋体" w:hAnsi="宋体" w:eastAsia="宋体" w:cs="宋体"/>
              </w:rPr>
            </w:pPr>
            <w:r>
              <w:rPr>
                <w:rFonts w:hint="eastAsia" w:ascii="宋体" w:hAnsi="宋体" w:eastAsia="宋体" w:cs="宋体"/>
                <w:spacing w:val="-18"/>
              </w:rPr>
              <w:t>防水</w:t>
            </w:r>
          </w:p>
          <w:p w14:paraId="7EE2C41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3"/>
              <w:textAlignment w:val="baseline"/>
              <w:rPr>
                <w:rFonts w:hint="eastAsia" w:ascii="宋体" w:hAnsi="宋体" w:eastAsia="宋体" w:cs="宋体"/>
              </w:rPr>
            </w:pPr>
            <w:r>
              <w:rPr>
                <w:rFonts w:hint="eastAsia" w:ascii="宋体" w:hAnsi="宋体" w:eastAsia="宋体" w:cs="宋体"/>
                <w:spacing w:val="-12"/>
              </w:rPr>
              <w:t>结构</w:t>
            </w:r>
          </w:p>
        </w:tc>
        <w:tc>
          <w:tcPr>
            <w:tcW w:w="7296" w:type="dxa"/>
            <w:vAlign w:val="top"/>
          </w:tcPr>
          <w:p w14:paraId="537664C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06" w:firstLine="4"/>
              <w:textAlignment w:val="baseline"/>
              <w:rPr>
                <w:rFonts w:hint="eastAsia" w:ascii="宋体" w:hAnsi="宋体" w:eastAsia="宋体" w:cs="宋体"/>
              </w:rPr>
            </w:pPr>
            <w:r>
              <w:rPr>
                <w:rFonts w:hint="eastAsia" w:ascii="宋体" w:hAnsi="宋体" w:eastAsia="宋体" w:cs="宋体"/>
                <w:spacing w:val="2"/>
              </w:rPr>
              <w:t>允许运用多种防水结构方案，积极鼓励参赛者自行设计与</w:t>
            </w:r>
            <w:r>
              <w:rPr>
                <w:rFonts w:hint="eastAsia" w:ascii="宋体" w:hAnsi="宋体" w:eastAsia="宋体" w:cs="宋体"/>
                <w:spacing w:val="-2"/>
              </w:rPr>
              <w:t>安装防水组件，以此锻炼学生的实践能力。</w:t>
            </w:r>
          </w:p>
        </w:tc>
      </w:tr>
      <w:tr w14:paraId="1D990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25" w:type="dxa"/>
            <w:vAlign w:val="top"/>
          </w:tcPr>
          <w:p w14:paraId="5B6A64C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2"/>
              <w:textAlignment w:val="baseline"/>
              <w:rPr>
                <w:rFonts w:hint="eastAsia" w:ascii="宋体" w:hAnsi="宋体" w:eastAsia="宋体" w:cs="宋体"/>
              </w:rPr>
            </w:pPr>
            <w:r>
              <w:rPr>
                <w:rFonts w:hint="eastAsia" w:ascii="宋体" w:hAnsi="宋体" w:eastAsia="宋体" w:cs="宋体"/>
                <w:spacing w:val="-11"/>
              </w:rPr>
              <w:t>作品</w:t>
            </w:r>
          </w:p>
          <w:p w14:paraId="216668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7"/>
              <w:textAlignment w:val="baseline"/>
              <w:rPr>
                <w:rFonts w:hint="eastAsia" w:ascii="宋体" w:hAnsi="宋体" w:eastAsia="宋体" w:cs="宋体"/>
              </w:rPr>
            </w:pPr>
            <w:r>
              <w:rPr>
                <w:rFonts w:hint="eastAsia" w:ascii="宋体" w:hAnsi="宋体" w:eastAsia="宋体" w:cs="宋体"/>
                <w:spacing w:val="-8"/>
              </w:rPr>
              <w:t>尺寸</w:t>
            </w:r>
          </w:p>
        </w:tc>
        <w:tc>
          <w:tcPr>
            <w:tcW w:w="7296" w:type="dxa"/>
            <w:vAlign w:val="top"/>
          </w:tcPr>
          <w:p w14:paraId="129ECA8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30" w:right="106" w:hanging="3"/>
              <w:textAlignment w:val="baseline"/>
              <w:rPr>
                <w:rFonts w:hint="eastAsia" w:ascii="宋体" w:hAnsi="宋体" w:eastAsia="宋体" w:cs="宋体"/>
              </w:rPr>
            </w:pPr>
            <w:r>
              <w:rPr>
                <w:rFonts w:hint="eastAsia" w:ascii="宋体" w:hAnsi="宋体" w:eastAsia="宋体" w:cs="宋体"/>
                <w:spacing w:val="-3"/>
              </w:rPr>
              <w:t>作品伸展开长宽高不得超过500mm×400mm×400mm。如不符</w:t>
            </w:r>
            <w:r>
              <w:rPr>
                <w:rFonts w:hint="eastAsia" w:ascii="宋体" w:hAnsi="宋体" w:eastAsia="宋体" w:cs="宋体"/>
                <w:spacing w:val="-2"/>
              </w:rPr>
              <w:t>合要求可替换零件，但禁止替换整套设备。</w:t>
            </w:r>
          </w:p>
        </w:tc>
      </w:tr>
      <w:tr w14:paraId="2ADB3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25" w:type="dxa"/>
            <w:vAlign w:val="top"/>
          </w:tcPr>
          <w:p w14:paraId="655E5B0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0"/>
              <w:textAlignment w:val="baseline"/>
              <w:rPr>
                <w:rFonts w:hint="eastAsia" w:ascii="宋体" w:hAnsi="宋体" w:eastAsia="宋体" w:cs="宋体"/>
              </w:rPr>
            </w:pPr>
            <w:r>
              <w:rPr>
                <w:rFonts w:hint="eastAsia" w:ascii="宋体" w:hAnsi="宋体" w:eastAsia="宋体" w:cs="宋体"/>
                <w:spacing w:val="-10"/>
              </w:rPr>
              <w:t>编程</w:t>
            </w:r>
          </w:p>
          <w:p w14:paraId="69E2255F">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98"/>
              <w:textAlignment w:val="baseline"/>
              <w:rPr>
                <w:rFonts w:hint="eastAsia" w:ascii="宋体" w:hAnsi="宋体" w:eastAsia="宋体" w:cs="宋体"/>
              </w:rPr>
            </w:pPr>
            <w:r>
              <w:rPr>
                <w:rFonts w:hint="eastAsia" w:ascii="宋体" w:hAnsi="宋体" w:eastAsia="宋体" w:cs="宋体"/>
                <w:spacing w:val="-9"/>
              </w:rPr>
              <w:t>平台</w:t>
            </w:r>
          </w:p>
        </w:tc>
        <w:tc>
          <w:tcPr>
            <w:tcW w:w="7296" w:type="dxa"/>
            <w:vAlign w:val="top"/>
          </w:tcPr>
          <w:p w14:paraId="45629CA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2" w:right="106" w:firstLine="2"/>
              <w:textAlignment w:val="baseline"/>
              <w:rPr>
                <w:rFonts w:hint="eastAsia" w:ascii="宋体" w:hAnsi="宋体" w:eastAsia="宋体" w:cs="宋体"/>
              </w:rPr>
            </w:pPr>
            <w:r>
              <w:rPr>
                <w:rFonts w:hint="eastAsia" w:ascii="宋体" w:hAnsi="宋体" w:eastAsia="宋体" w:cs="宋体"/>
                <w:spacing w:val="2"/>
              </w:rPr>
              <w:t>编程平台无限制，鼓励采用多样化的编程方法，无论是图</w:t>
            </w:r>
            <w:r>
              <w:rPr>
                <w:rFonts w:hint="eastAsia" w:ascii="宋体" w:hAnsi="宋体" w:eastAsia="宋体" w:cs="宋体"/>
                <w:spacing w:val="-2"/>
              </w:rPr>
              <w:t>形化编程还是代码编程均可。</w:t>
            </w:r>
          </w:p>
        </w:tc>
      </w:tr>
      <w:tr w14:paraId="0D10E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25" w:type="dxa"/>
            <w:vAlign w:val="top"/>
          </w:tcPr>
          <w:p w14:paraId="61B9097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335" w:right="178" w:hanging="134"/>
              <w:textAlignment w:val="baseline"/>
              <w:rPr>
                <w:rFonts w:hint="eastAsia" w:ascii="宋体" w:hAnsi="宋体" w:eastAsia="宋体" w:cs="宋体"/>
              </w:rPr>
            </w:pPr>
            <w:r>
              <w:rPr>
                <w:rFonts w:hint="eastAsia" w:ascii="宋体" w:hAnsi="宋体" w:eastAsia="宋体" w:cs="宋体"/>
                <w:spacing w:val="-11"/>
              </w:rPr>
              <w:t>传感</w:t>
            </w:r>
            <w:r>
              <w:rPr>
                <w:rFonts w:hint="eastAsia" w:ascii="宋体" w:hAnsi="宋体" w:eastAsia="宋体" w:cs="宋体"/>
              </w:rPr>
              <w:t>器</w:t>
            </w:r>
          </w:p>
        </w:tc>
        <w:tc>
          <w:tcPr>
            <w:tcW w:w="7296" w:type="dxa"/>
            <w:vAlign w:val="top"/>
          </w:tcPr>
          <w:p w14:paraId="5710A0B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6" w:right="106"/>
              <w:textAlignment w:val="baseline"/>
              <w:rPr>
                <w:rFonts w:hint="eastAsia" w:ascii="宋体" w:hAnsi="宋体" w:eastAsia="宋体" w:cs="宋体"/>
              </w:rPr>
            </w:pPr>
            <w:r>
              <w:rPr>
                <w:rFonts w:hint="eastAsia" w:ascii="宋体" w:hAnsi="宋体" w:eastAsia="宋体" w:cs="宋体"/>
                <w:spacing w:val="-1"/>
              </w:rPr>
              <w:t>传感器无限制，鼓励创新。目标在于：参赛者充分利用各</w:t>
            </w:r>
            <w:r>
              <w:rPr>
                <w:rFonts w:hint="eastAsia" w:ascii="宋体" w:hAnsi="宋体" w:eastAsia="宋体" w:cs="宋体"/>
                <w:spacing w:val="-2"/>
              </w:rPr>
              <w:t>类传感器，发挥创新潜能，高效完成任务。</w:t>
            </w:r>
          </w:p>
        </w:tc>
      </w:tr>
      <w:tr w14:paraId="775C5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5" w:hRule="atLeast"/>
        </w:trPr>
        <w:tc>
          <w:tcPr>
            <w:tcW w:w="925" w:type="dxa"/>
            <w:vAlign w:val="top"/>
          </w:tcPr>
          <w:p w14:paraId="63C5B382">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04B22F60">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1"/>
              </w:rPr>
            </w:pPr>
          </w:p>
          <w:p w14:paraId="065023C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200"/>
              <w:textAlignment w:val="baseline"/>
              <w:rPr>
                <w:rFonts w:hint="eastAsia" w:ascii="宋体" w:hAnsi="宋体" w:eastAsia="宋体" w:cs="宋体"/>
              </w:rPr>
            </w:pPr>
            <w:r>
              <w:rPr>
                <w:rFonts w:hint="eastAsia" w:ascii="宋体" w:hAnsi="宋体" w:eastAsia="宋体" w:cs="宋体"/>
                <w:spacing w:val="-10"/>
              </w:rPr>
              <w:t>其他</w:t>
            </w:r>
          </w:p>
        </w:tc>
        <w:tc>
          <w:tcPr>
            <w:tcW w:w="7296" w:type="dxa"/>
            <w:vAlign w:val="top"/>
          </w:tcPr>
          <w:p w14:paraId="2E08FE4C">
            <w:pPr>
              <w:pStyle w:val="7"/>
              <w:keepNext w:val="0"/>
              <w:keepLines w:val="0"/>
              <w:pageBreakBefore w:val="0"/>
              <w:widowControl/>
              <w:kinsoku w:val="0"/>
              <w:wordWrap/>
              <w:overflowPunct/>
              <w:topLinePunct w:val="0"/>
              <w:autoSpaceDE w:val="0"/>
              <w:autoSpaceDN w:val="0"/>
              <w:bidi w:val="0"/>
              <w:adjustRightInd w:val="0"/>
              <w:snapToGrid w:val="0"/>
              <w:spacing w:line="400" w:lineRule="exact"/>
              <w:ind w:left="124" w:right="106" w:firstLine="3"/>
              <w:jc w:val="both"/>
              <w:textAlignment w:val="baseline"/>
              <w:rPr>
                <w:rFonts w:hint="eastAsia" w:ascii="宋体" w:hAnsi="宋体" w:eastAsia="宋体" w:cs="宋体"/>
              </w:rPr>
            </w:pPr>
            <w:r>
              <w:rPr>
                <w:rFonts w:hint="eastAsia" w:ascii="宋体" w:hAnsi="宋体" w:eastAsia="宋体" w:cs="宋体"/>
                <w:spacing w:val="2"/>
              </w:rPr>
              <w:t>作品设计应确保无任何尖锐结构，以防损坏水池设施并消除操作安全隐患。严禁在作品中使用易燃、易爆物品，以</w:t>
            </w:r>
            <w:r>
              <w:rPr>
                <w:rFonts w:hint="eastAsia" w:ascii="宋体" w:hAnsi="宋体" w:eastAsia="宋体" w:cs="宋体"/>
                <w:spacing w:val="-3"/>
              </w:rPr>
              <w:t>及电压超过12.6V的电源设备，同时禁止使用高功率激光等</w:t>
            </w:r>
            <w:r>
              <w:rPr>
                <w:rFonts w:hint="eastAsia" w:ascii="宋体" w:hAnsi="宋体" w:eastAsia="宋体" w:cs="宋体"/>
                <w:spacing w:val="2"/>
              </w:rPr>
              <w:t>可能存在危险的设备。违者设备将被没收，拒交或隐瞒者</w:t>
            </w:r>
            <w:r>
              <w:rPr>
                <w:rFonts w:hint="eastAsia" w:ascii="宋体" w:hAnsi="宋体" w:eastAsia="宋体" w:cs="宋体"/>
                <w:spacing w:val="-3"/>
              </w:rPr>
              <w:t>取消参赛资格。</w:t>
            </w:r>
          </w:p>
        </w:tc>
      </w:tr>
    </w:tbl>
    <w:p w14:paraId="5858B33E">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outlineLvl w:val="0"/>
        <w:rPr>
          <w:rFonts w:hint="eastAsia" w:ascii="黑体" w:hAnsi="黑体" w:eastAsia="黑体" w:cs="黑体"/>
          <w:b w:val="0"/>
          <w:bCs w:val="0"/>
          <w:spacing w:val="-3"/>
          <w:sz w:val="30"/>
          <w:szCs w:val="30"/>
        </w:rPr>
      </w:pPr>
      <w:r>
        <w:rPr>
          <w:rFonts w:hint="eastAsia" w:ascii="黑体" w:hAnsi="黑体" w:eastAsia="黑体" w:cs="黑体"/>
          <w:b w:val="0"/>
          <w:bCs w:val="0"/>
          <w:spacing w:val="-3"/>
          <w:sz w:val="30"/>
          <w:szCs w:val="30"/>
          <w:lang w:val="en-US" w:eastAsia="zh-CN"/>
        </w:rPr>
        <w:t>六</w:t>
      </w:r>
      <w:r>
        <w:rPr>
          <w:rFonts w:hint="eastAsia" w:ascii="黑体" w:hAnsi="黑体" w:eastAsia="黑体" w:cs="黑体"/>
          <w:b w:val="0"/>
          <w:bCs w:val="0"/>
          <w:spacing w:val="-3"/>
          <w:sz w:val="30"/>
          <w:szCs w:val="30"/>
        </w:rPr>
        <w:t>、其他说明</w:t>
      </w:r>
    </w:p>
    <w:p w14:paraId="65CAC5E3">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楷体" w:hAnsi="楷体" w:eastAsia="楷体" w:cs="楷体"/>
          <w:spacing w:val="-4"/>
          <w:sz w:val="30"/>
          <w:szCs w:val="30"/>
        </w:rPr>
      </w:pPr>
      <w:r>
        <w:rPr>
          <w:rFonts w:hint="eastAsia" w:ascii="楷体" w:hAnsi="楷体" w:eastAsia="楷体" w:cs="楷体"/>
          <w:spacing w:val="-4"/>
          <w:sz w:val="30"/>
          <w:szCs w:val="30"/>
        </w:rPr>
        <w:t>（一）基本比赛要求</w:t>
      </w:r>
    </w:p>
    <w:p w14:paraId="62C1A481">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1.组委会工作人员（包括裁判及专家组成员），不得在现场比赛期间参与任何对参赛选手的指导或辅导工作，不得泄露任何有失公允的竞赛信息。</w:t>
      </w:r>
    </w:p>
    <w:p w14:paraId="57CC629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2.参赛选手须提前5分钟入场，按指定位置就座。比赛过程中不得随意走动，不得扰乱比赛秩序。</w:t>
      </w:r>
    </w:p>
    <w:p w14:paraId="67851D8F">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3.参赛选手允许携带书写工具，如钢笔、签字笔等，以辅助记录或准备比赛相关内容；然而，为捍卫比赛的公正性原则及预防任何潜在的侵权行为，严格禁止携带任何形式的视频、图像捕捉与存储设备，包括但不限于照相机、摄影机、手机以及含有拍照功能的手表等物品进入比赛区域，一经查实，取消比赛成绩。</w:t>
      </w:r>
    </w:p>
    <w:p w14:paraId="3C0CAD96">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4.选手在展示和比赛过程中对题目、设备以及编程环境有疑问时，应举手向大赛工作人员提问。选手遇有计算机或软件故障，或其他妨碍比赛的情况，应及时举手示意大赛工作人员及时处理。</w:t>
      </w:r>
    </w:p>
    <w:p w14:paraId="29D695F9">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5.组委会尽可能的为参赛选手提供良好优质的比赛环境，但受赛场环境的影响，参赛选手及其设备也要适应比赛场地及其环境的变化。</w:t>
      </w:r>
    </w:p>
    <w:p w14:paraId="182CDCF2">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楷体" w:hAnsi="楷体" w:eastAsia="楷体" w:cs="楷体"/>
          <w:spacing w:val="-4"/>
          <w:sz w:val="30"/>
          <w:szCs w:val="30"/>
        </w:rPr>
      </w:pPr>
      <w:r>
        <w:rPr>
          <w:rFonts w:hint="eastAsia" w:ascii="楷体" w:hAnsi="楷体" w:eastAsia="楷体" w:cs="楷体"/>
          <w:spacing w:val="-4"/>
          <w:sz w:val="30"/>
          <w:szCs w:val="30"/>
        </w:rPr>
        <w:t>（二）裁判和仲裁</w:t>
      </w:r>
    </w:p>
    <w:p w14:paraId="3E410279">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1.裁判工作根据比赛内容和规则执行。</w:t>
      </w:r>
    </w:p>
    <w:p w14:paraId="00D6E4DD">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2.比赛采用的是比赛结果即时发布制。如果参赛选手对裁判结果有异议，应当于当天比赛结束公布成绩后2小时以内提出申诉。申诉采用在线提交方式，并具体说明在比赛过程中疑似异常情况的时间、相关人员、异常内容、相关证明资料（照片或视频）和对比赛结果不满的原因。</w:t>
      </w:r>
    </w:p>
    <w:p w14:paraId="342AA088">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仲裁委员会在接到申诉意见后，将视需要组织评审专家进行复核评估，并在1个工作日内将处理意见反馈给申诉人。</w:t>
      </w:r>
    </w:p>
    <w:p w14:paraId="53A8E621">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楷体" w:hAnsi="楷体" w:eastAsia="楷体" w:cs="楷体"/>
          <w:spacing w:val="-4"/>
          <w:sz w:val="30"/>
          <w:szCs w:val="30"/>
        </w:rPr>
      </w:pPr>
      <w:r>
        <w:rPr>
          <w:rFonts w:hint="eastAsia" w:ascii="楷体" w:hAnsi="楷体" w:eastAsia="楷体" w:cs="楷体"/>
          <w:spacing w:val="-4"/>
          <w:sz w:val="30"/>
          <w:szCs w:val="30"/>
        </w:rPr>
        <w:t>（三）比赛规则的解释权归大赛组委会。</w:t>
      </w:r>
    </w:p>
    <w:p w14:paraId="0C35F70A">
      <w:pPr>
        <w:keepNext w:val="0"/>
        <w:keepLines w:val="0"/>
        <w:pageBreakBefore w:val="0"/>
        <w:widowControl/>
        <w:kinsoku w:val="0"/>
        <w:wordWrap/>
        <w:overflowPunct/>
        <w:topLinePunct w:val="0"/>
        <w:autoSpaceDE w:val="0"/>
        <w:autoSpaceDN w:val="0"/>
        <w:bidi w:val="0"/>
        <w:adjustRightInd w:val="0"/>
        <w:snapToGrid w:val="0"/>
        <w:spacing w:line="460" w:lineRule="exact"/>
        <w:ind w:left="28" w:right="11" w:firstLine="561"/>
        <w:jc w:val="both"/>
        <w:textAlignment w:val="baseline"/>
        <w:rPr>
          <w:rFonts w:hint="eastAsia" w:ascii="仿宋" w:hAnsi="仿宋" w:eastAsia="仿宋" w:cs="仿宋"/>
          <w:spacing w:val="-4"/>
          <w:sz w:val="30"/>
          <w:szCs w:val="30"/>
        </w:rPr>
      </w:pPr>
    </w:p>
    <w:sectPr>
      <w:footerReference r:id="rId5" w:type="default"/>
      <w:pgSz w:w="11906" w:h="16839"/>
      <w:pgMar w:top="1431" w:right="1785" w:bottom="1382" w:left="1785" w:header="0" w:footer="12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37FBA">
    <w:pPr>
      <w:spacing w:line="176"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8057A5A"/>
    <w:rsid w:val="1F3802BD"/>
    <w:rsid w:val="319B0382"/>
    <w:rsid w:val="5CFE0A77"/>
    <w:rsid w:val="684269F9"/>
    <w:rsid w:val="742F3B2D"/>
    <w:rsid w:val="746C1710"/>
    <w:rsid w:val="7CC61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4356</Words>
  <Characters>4557</Characters>
  <TotalTime>150</TotalTime>
  <ScaleCrop>false</ScaleCrop>
  <LinksUpToDate>false</LinksUpToDate>
  <CharactersWithSpaces>4560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2025-01-06T15:47:00Z</dcterms:created>
  <dc:creator>hetao</dc:creator>
  <cp:lastModifiedBy>福建省机器人科教协会</cp:lastModifiedBy>
  <dcterms:modified xsi:type="dcterms:W3CDTF">2025-09-11T09:10:41Z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2025-09-09T15:26:28Z</vt:filetime>
  </property>
  <property fmtid="{D5CDD505-2E9C-101B-9397-08002B2CF9AE}" pid="4" name="KSOTemplateDocerSaveRecord">
    <vt:lpwstr>eyJoZGlkIjoiZDE0ODgwZDA2MzIyMzE0OTJkNjg4OWQ4ZmI2N2RkNzYiLCJ1c2VySWQiOiIxMTUyMTA2Nzg5In0=</vt:lpwstr>
  </property>
  <property fmtid="{D5CDD505-2E9C-101B-9397-08002B2CF9AE}" pid="5" name="KSOProductBuildVer">
    <vt:lpwstr>2052-12.1.0.21915</vt:lpwstr>
  </property>
  <property fmtid="{D5CDD505-2E9C-101B-9397-08002B2CF9AE}" pid="6" name="ICV">
    <vt:lpwstr>C3387F3648B4496DAE39ABE7573FD9AB_13</vt:lpwstr>
  </property>
</Properties>
</file>